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43" w:rsidRPr="00080F78" w:rsidRDefault="00C73C6C">
      <w:pPr>
        <w:pStyle w:val="1"/>
        <w:widowControl/>
        <w:wordWrap w:val="0"/>
        <w:spacing w:beforeAutospacing="0" w:afterAutospacing="0" w:line="675" w:lineRule="atLeast"/>
        <w:jc w:val="center"/>
        <w:rPr>
          <w:rFonts w:ascii="方正小标宋_GBK" w:eastAsia="方正小标宋_GBK"/>
          <w:b w:val="0"/>
          <w:bCs w:val="0"/>
          <w:sz w:val="36"/>
          <w:szCs w:val="36"/>
        </w:rPr>
      </w:pPr>
      <w:r w:rsidRPr="00080F78">
        <w:rPr>
          <w:rFonts w:ascii="方正小标宋_GBK" w:eastAsia="方正小标宋_GBK"/>
          <w:b w:val="0"/>
          <w:bCs w:val="0"/>
          <w:sz w:val="36"/>
          <w:szCs w:val="36"/>
          <w:shd w:val="clear" w:color="auto" w:fill="FFFFFF"/>
        </w:rPr>
        <w:t>企业会计准则第</w:t>
      </w:r>
      <w:r w:rsidRPr="00080F78">
        <w:rPr>
          <w:rFonts w:ascii="方正小标宋_GBK" w:eastAsia="方正小标宋_GBK"/>
          <w:b w:val="0"/>
          <w:bCs w:val="0"/>
          <w:sz w:val="36"/>
          <w:szCs w:val="36"/>
          <w:shd w:val="clear" w:color="auto" w:fill="FFFFFF"/>
        </w:rPr>
        <w:t>25</w:t>
      </w:r>
      <w:r w:rsidRPr="00080F78">
        <w:rPr>
          <w:rFonts w:ascii="方正小标宋_GBK" w:eastAsia="方正小标宋_GBK"/>
          <w:b w:val="0"/>
          <w:bCs w:val="0"/>
          <w:sz w:val="36"/>
          <w:szCs w:val="36"/>
          <w:shd w:val="clear" w:color="auto" w:fill="FFFFFF"/>
        </w:rPr>
        <w:t>号——保险合同</w:t>
      </w:r>
    </w:p>
    <w:p w:rsidR="007D2D43" w:rsidRDefault="007D2D43">
      <w:pPr>
        <w:widowControl/>
        <w:shd w:val="clear" w:color="auto" w:fill="FFFFFF"/>
        <w:wordWrap w:val="0"/>
        <w:spacing w:line="450" w:lineRule="atLeast"/>
        <w:rPr>
          <w:rFonts w:ascii="微软雅黑" w:eastAsia="微软雅黑" w:hAnsi="微软雅黑" w:cs="微软雅黑"/>
          <w:color w:val="999999"/>
          <w:sz w:val="18"/>
          <w:szCs w:val="18"/>
        </w:rPr>
      </w:pPr>
    </w:p>
    <w:p w:rsidR="007D2D43" w:rsidRDefault="007D2D43">
      <w:pPr>
        <w:pStyle w:val="a5"/>
        <w:widowControl/>
        <w:wordWrap w:val="0"/>
        <w:spacing w:beforeAutospacing="0" w:afterAutospacing="0" w:line="450" w:lineRule="atLeast"/>
      </w:pPr>
    </w:p>
    <w:p w:rsidR="007D2D43" w:rsidRPr="009D25BA" w:rsidRDefault="00C73C6C" w:rsidP="009D25BA">
      <w:pPr>
        <w:pStyle w:val="a5"/>
        <w:widowControl/>
        <w:spacing w:beforeAutospacing="0" w:afterAutospacing="0" w:line="450" w:lineRule="atLeast"/>
        <w:ind w:firstLine="420"/>
        <w:jc w:val="center"/>
        <w:rPr>
          <w:b/>
        </w:rPr>
      </w:pPr>
      <w:r w:rsidRPr="009D25BA">
        <w:rPr>
          <w:rFonts w:ascii="微软雅黑" w:eastAsia="微软雅黑" w:hAnsi="微软雅黑" w:cs="微软雅黑" w:hint="eastAsia"/>
          <w:b/>
          <w:color w:val="666666"/>
          <w:sz w:val="21"/>
          <w:szCs w:val="21"/>
          <w:shd w:val="clear" w:color="auto" w:fill="FFFFFF"/>
        </w:rPr>
        <w:t>第一章</w:t>
      </w:r>
      <w:r w:rsidRPr="009D25BA">
        <w:rPr>
          <w:rFonts w:ascii="微软雅黑" w:eastAsia="微软雅黑" w:hAnsi="微软雅黑" w:cs="微软雅黑" w:hint="eastAsia"/>
          <w:b/>
          <w:color w:val="666666"/>
          <w:sz w:val="21"/>
          <w:szCs w:val="21"/>
          <w:shd w:val="clear" w:color="auto" w:fill="FFFFFF"/>
        </w:rPr>
        <w:t xml:space="preserve">  </w:t>
      </w:r>
      <w:r w:rsidRPr="009D25BA">
        <w:rPr>
          <w:rFonts w:ascii="微软雅黑" w:eastAsia="微软雅黑" w:hAnsi="微软雅黑" w:cs="微软雅黑" w:hint="eastAsia"/>
          <w:b/>
          <w:color w:val="666666"/>
          <w:sz w:val="21"/>
          <w:szCs w:val="21"/>
          <w:shd w:val="clear" w:color="auto" w:fill="FFFFFF"/>
        </w:rPr>
        <w:t>总则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为了规范保险合同的确认、计量和相关信息的列报，根据《企业会计准则——基本准则》，制定本准则。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保险合同，是指企业（合同签发人）与保单持有人约定，在特定保险事项对保单持有人产生不利影响时给予其赔偿，并因此承担源于保单持有人重大保险风险的合同。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保险事项，是指保险合同所承保的、产生保险风险的不确定未来事项。</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保险风险，是指从保单持有人转移至合同签发人的除金融风险之外的风险。</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本准则适用于下列保险合同：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（一）企业签发的保险合同（含分入的再保险合同）；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（二）企业分出的再保险合同；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（三）企业在合同转让或非同一控制下企业合并中取得的上述保险合同。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签发保险合同的企业所签发的具有相机参与分红特征的投资合同适用本准则。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再保险合同，是指再保险分入人（再保险合同签发人）与再保险分出人约定，对再保险分出人由对应的保险合同所引起的赔付等进行补偿的保险合同。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具有相机参与分红特征的投资合同，是指赋予特定投资者合同权利以收取保证金额和附加金额的金融工具。附加金额由企业（合同签发人）基于特定项目回报相机决定，且预计构成合同</w:t>
      </w:r>
      <w:r>
        <w:rPr>
          <w:rFonts w:ascii="微软雅黑" w:eastAsia="微软雅黑" w:hAnsi="微软雅黑" w:cs="微软雅黑" w:hint="eastAsia"/>
          <w:color w:val="666666"/>
          <w:sz w:val="21"/>
          <w:szCs w:val="21"/>
          <w:shd w:val="clear" w:color="auto" w:fill="FFFFFF"/>
        </w:rPr>
        <w:t>利益的重要部分。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下列各项适用其他相关会计准则：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（一）由《企业会计准则第</w:t>
      </w:r>
      <w:r>
        <w:rPr>
          <w:rFonts w:ascii="微软雅黑" w:eastAsia="微软雅黑" w:hAnsi="微软雅黑" w:cs="微软雅黑" w:hint="eastAsia"/>
          <w:color w:val="666666"/>
          <w:sz w:val="21"/>
          <w:szCs w:val="21"/>
          <w:shd w:val="clear" w:color="auto" w:fill="FFFFFF"/>
        </w:rPr>
        <w:t>6</w:t>
      </w:r>
      <w:r>
        <w:rPr>
          <w:rFonts w:ascii="微软雅黑" w:eastAsia="微软雅黑" w:hAnsi="微软雅黑" w:cs="微软雅黑" w:hint="eastAsia"/>
          <w:color w:val="666666"/>
          <w:sz w:val="21"/>
          <w:szCs w:val="21"/>
          <w:shd w:val="clear" w:color="auto" w:fill="FFFFFF"/>
        </w:rPr>
        <w:t>号——无形资产》、《企业会计准则第</w:t>
      </w:r>
      <w:r>
        <w:rPr>
          <w:rFonts w:ascii="微软雅黑" w:eastAsia="微软雅黑" w:hAnsi="微软雅黑" w:cs="微软雅黑" w:hint="eastAsia"/>
          <w:color w:val="666666"/>
          <w:sz w:val="21"/>
          <w:szCs w:val="21"/>
          <w:shd w:val="clear" w:color="auto" w:fill="FFFFFF"/>
        </w:rPr>
        <w:t>14</w:t>
      </w:r>
      <w:r>
        <w:rPr>
          <w:rFonts w:ascii="微软雅黑" w:eastAsia="微软雅黑" w:hAnsi="微软雅黑" w:cs="微软雅黑" w:hint="eastAsia"/>
          <w:color w:val="666666"/>
          <w:sz w:val="21"/>
          <w:szCs w:val="21"/>
          <w:shd w:val="clear" w:color="auto" w:fill="FFFFFF"/>
        </w:rPr>
        <w:t>号——收入》和《企业会计准则第</w:t>
      </w:r>
      <w:r>
        <w:rPr>
          <w:rFonts w:ascii="微软雅黑" w:eastAsia="微软雅黑" w:hAnsi="微软雅黑" w:cs="微软雅黑" w:hint="eastAsia"/>
          <w:color w:val="666666"/>
          <w:sz w:val="21"/>
          <w:szCs w:val="21"/>
          <w:shd w:val="clear" w:color="auto" w:fill="FFFFFF"/>
        </w:rPr>
        <w:t>21</w:t>
      </w:r>
      <w:r>
        <w:rPr>
          <w:rFonts w:ascii="微软雅黑" w:eastAsia="微软雅黑" w:hAnsi="微软雅黑" w:cs="微软雅黑" w:hint="eastAsia"/>
          <w:color w:val="666666"/>
          <w:sz w:val="21"/>
          <w:szCs w:val="21"/>
          <w:shd w:val="clear" w:color="auto" w:fill="FFFFFF"/>
        </w:rPr>
        <w:t>号——租赁》规范的基于非金融项目未来使用情况等形成的合同权</w:t>
      </w:r>
      <w:r>
        <w:rPr>
          <w:rFonts w:ascii="微软雅黑" w:eastAsia="微软雅黑" w:hAnsi="微软雅黑" w:cs="微软雅黑" w:hint="eastAsia"/>
          <w:color w:val="666666"/>
          <w:sz w:val="21"/>
          <w:szCs w:val="21"/>
          <w:shd w:val="clear" w:color="auto" w:fill="FFFFFF"/>
        </w:rPr>
        <w:lastRenderedPageBreak/>
        <w:t>利或义务，分别适用《企业会计准则第</w:t>
      </w:r>
      <w:r>
        <w:rPr>
          <w:rFonts w:ascii="微软雅黑" w:eastAsia="微软雅黑" w:hAnsi="微软雅黑" w:cs="微软雅黑" w:hint="eastAsia"/>
          <w:color w:val="666666"/>
          <w:sz w:val="21"/>
          <w:szCs w:val="21"/>
          <w:shd w:val="clear" w:color="auto" w:fill="FFFFFF"/>
        </w:rPr>
        <w:t>6</w:t>
      </w:r>
      <w:r>
        <w:rPr>
          <w:rFonts w:ascii="微软雅黑" w:eastAsia="微软雅黑" w:hAnsi="微软雅黑" w:cs="微软雅黑" w:hint="eastAsia"/>
          <w:color w:val="666666"/>
          <w:sz w:val="21"/>
          <w:szCs w:val="21"/>
          <w:shd w:val="clear" w:color="auto" w:fill="FFFFFF"/>
        </w:rPr>
        <w:t>号——无形资产》、《企业会计准则第</w:t>
      </w:r>
      <w:r>
        <w:rPr>
          <w:rFonts w:ascii="微软雅黑" w:eastAsia="微软雅黑" w:hAnsi="微软雅黑" w:cs="微软雅黑" w:hint="eastAsia"/>
          <w:color w:val="666666"/>
          <w:sz w:val="21"/>
          <w:szCs w:val="21"/>
          <w:shd w:val="clear" w:color="auto" w:fill="FFFFFF"/>
        </w:rPr>
        <w:t>14</w:t>
      </w:r>
      <w:r>
        <w:rPr>
          <w:rFonts w:ascii="微软雅黑" w:eastAsia="微软雅黑" w:hAnsi="微软雅黑" w:cs="微软雅黑" w:hint="eastAsia"/>
          <w:color w:val="666666"/>
          <w:sz w:val="21"/>
          <w:szCs w:val="21"/>
          <w:shd w:val="clear" w:color="auto" w:fill="FFFFFF"/>
        </w:rPr>
        <w:t>号——收入》和《企业会计准则第</w:t>
      </w:r>
      <w:r>
        <w:rPr>
          <w:rFonts w:ascii="微软雅黑" w:eastAsia="微软雅黑" w:hAnsi="微软雅黑" w:cs="微软雅黑" w:hint="eastAsia"/>
          <w:color w:val="666666"/>
          <w:sz w:val="21"/>
          <w:szCs w:val="21"/>
          <w:shd w:val="clear" w:color="auto" w:fill="FFFFFF"/>
        </w:rPr>
        <w:t>21</w:t>
      </w:r>
      <w:r>
        <w:rPr>
          <w:rFonts w:ascii="微软雅黑" w:eastAsia="微软雅黑" w:hAnsi="微软雅黑" w:cs="微软雅黑" w:hint="eastAsia"/>
          <w:color w:val="666666"/>
          <w:sz w:val="21"/>
          <w:szCs w:val="21"/>
          <w:shd w:val="clear" w:color="auto" w:fill="FFFFFF"/>
        </w:rPr>
        <w:t>号——租赁》。</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（二）由《企业会计准则第</w:t>
      </w:r>
      <w:r>
        <w:rPr>
          <w:rFonts w:ascii="微软雅黑" w:eastAsia="微软雅黑" w:hAnsi="微软雅黑" w:cs="微软雅黑" w:hint="eastAsia"/>
          <w:color w:val="666666"/>
          <w:sz w:val="21"/>
          <w:szCs w:val="21"/>
          <w:shd w:val="clear" w:color="auto" w:fill="FFFFFF"/>
        </w:rPr>
        <w:t>9</w:t>
      </w:r>
      <w:r>
        <w:rPr>
          <w:rFonts w:ascii="微软雅黑" w:eastAsia="微软雅黑" w:hAnsi="微软雅黑" w:cs="微软雅黑" w:hint="eastAsia"/>
          <w:color w:val="666666"/>
          <w:sz w:val="21"/>
          <w:szCs w:val="21"/>
          <w:shd w:val="clear" w:color="auto" w:fill="FFFFFF"/>
        </w:rPr>
        <w:t>号——职工薪酬》和《企业会计准则第</w:t>
      </w:r>
      <w:r>
        <w:rPr>
          <w:rFonts w:ascii="微软雅黑" w:eastAsia="微软雅黑" w:hAnsi="微软雅黑" w:cs="微软雅黑" w:hint="eastAsia"/>
          <w:color w:val="666666"/>
          <w:sz w:val="21"/>
          <w:szCs w:val="21"/>
          <w:shd w:val="clear" w:color="auto" w:fill="FFFFFF"/>
        </w:rPr>
        <w:t>11</w:t>
      </w:r>
      <w:r>
        <w:rPr>
          <w:rFonts w:ascii="微软雅黑" w:eastAsia="微软雅黑" w:hAnsi="微软雅黑" w:cs="微软雅黑" w:hint="eastAsia"/>
          <w:color w:val="666666"/>
          <w:sz w:val="21"/>
          <w:szCs w:val="21"/>
          <w:shd w:val="clear" w:color="auto" w:fill="FFFFFF"/>
        </w:rPr>
        <w:t>号——股份支付》规范的职工薪酬计划、股份支付等形成的权利或义务，分别适用《企业会计准则第</w:t>
      </w:r>
      <w:r>
        <w:rPr>
          <w:rFonts w:ascii="微软雅黑" w:eastAsia="微软雅黑" w:hAnsi="微软雅黑" w:cs="微软雅黑" w:hint="eastAsia"/>
          <w:color w:val="666666"/>
          <w:sz w:val="21"/>
          <w:szCs w:val="21"/>
          <w:shd w:val="clear" w:color="auto" w:fill="FFFFFF"/>
        </w:rPr>
        <w:t>9</w:t>
      </w:r>
      <w:r>
        <w:rPr>
          <w:rFonts w:ascii="微软雅黑" w:eastAsia="微软雅黑" w:hAnsi="微软雅黑" w:cs="微软雅黑" w:hint="eastAsia"/>
          <w:color w:val="666666"/>
          <w:sz w:val="21"/>
          <w:szCs w:val="21"/>
          <w:shd w:val="clear" w:color="auto" w:fill="FFFFFF"/>
        </w:rPr>
        <w:t>号——职工薪酬》和</w:t>
      </w:r>
      <w:r>
        <w:rPr>
          <w:rFonts w:ascii="微软雅黑" w:eastAsia="微软雅黑" w:hAnsi="微软雅黑" w:cs="微软雅黑" w:hint="eastAsia"/>
          <w:color w:val="666666"/>
          <w:sz w:val="21"/>
          <w:szCs w:val="21"/>
          <w:shd w:val="clear" w:color="auto" w:fill="FFFFFF"/>
        </w:rPr>
        <w:t>《企业会计准则第</w:t>
      </w:r>
      <w:r>
        <w:rPr>
          <w:rFonts w:ascii="微软雅黑" w:eastAsia="微软雅黑" w:hAnsi="微软雅黑" w:cs="微软雅黑" w:hint="eastAsia"/>
          <w:color w:val="666666"/>
          <w:sz w:val="21"/>
          <w:szCs w:val="21"/>
          <w:shd w:val="clear" w:color="auto" w:fill="FFFFFF"/>
        </w:rPr>
        <w:t>11</w:t>
      </w:r>
      <w:r>
        <w:rPr>
          <w:rFonts w:ascii="微软雅黑" w:eastAsia="微软雅黑" w:hAnsi="微软雅黑" w:cs="微软雅黑" w:hint="eastAsia"/>
          <w:color w:val="666666"/>
          <w:sz w:val="21"/>
          <w:szCs w:val="21"/>
          <w:shd w:val="clear" w:color="auto" w:fill="FFFFFF"/>
        </w:rPr>
        <w:t>号——股份支付》。</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（三）由《企业会计准则第</w:t>
      </w:r>
      <w:r>
        <w:rPr>
          <w:rFonts w:ascii="微软雅黑" w:eastAsia="微软雅黑" w:hAnsi="微软雅黑" w:cs="微软雅黑" w:hint="eastAsia"/>
          <w:color w:val="666666"/>
          <w:sz w:val="21"/>
          <w:szCs w:val="21"/>
          <w:shd w:val="clear" w:color="auto" w:fill="FFFFFF"/>
        </w:rPr>
        <w:t>14</w:t>
      </w:r>
      <w:r>
        <w:rPr>
          <w:rFonts w:ascii="微软雅黑" w:eastAsia="微软雅黑" w:hAnsi="微软雅黑" w:cs="微软雅黑" w:hint="eastAsia"/>
          <w:color w:val="666666"/>
          <w:sz w:val="21"/>
          <w:szCs w:val="21"/>
          <w:shd w:val="clear" w:color="auto" w:fill="FFFFFF"/>
        </w:rPr>
        <w:t>号——收入》规范的附有质量保证条款的销售，适用《企业会计准则第</w:t>
      </w:r>
      <w:r>
        <w:rPr>
          <w:rFonts w:ascii="微软雅黑" w:eastAsia="微软雅黑" w:hAnsi="微软雅黑" w:cs="微软雅黑" w:hint="eastAsia"/>
          <w:color w:val="666666"/>
          <w:sz w:val="21"/>
          <w:szCs w:val="21"/>
          <w:shd w:val="clear" w:color="auto" w:fill="FFFFFF"/>
        </w:rPr>
        <w:t>14</w:t>
      </w:r>
      <w:r>
        <w:rPr>
          <w:rFonts w:ascii="微软雅黑" w:eastAsia="微软雅黑" w:hAnsi="微软雅黑" w:cs="微软雅黑" w:hint="eastAsia"/>
          <w:color w:val="666666"/>
          <w:sz w:val="21"/>
          <w:szCs w:val="21"/>
          <w:shd w:val="clear" w:color="auto" w:fill="FFFFFF"/>
        </w:rPr>
        <w:t>号——收入》。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（四）生产商、经销商和零售商提供的余值担保，以及租赁合同中由承租方提供的余值担保，分别适用《企业会计准则第</w:t>
      </w:r>
      <w:r>
        <w:rPr>
          <w:rFonts w:ascii="微软雅黑" w:eastAsia="微软雅黑" w:hAnsi="微软雅黑" w:cs="微软雅黑" w:hint="eastAsia"/>
          <w:color w:val="666666"/>
          <w:sz w:val="21"/>
          <w:szCs w:val="21"/>
          <w:shd w:val="clear" w:color="auto" w:fill="FFFFFF"/>
        </w:rPr>
        <w:t>14</w:t>
      </w:r>
      <w:r>
        <w:rPr>
          <w:rFonts w:ascii="微软雅黑" w:eastAsia="微软雅黑" w:hAnsi="微软雅黑" w:cs="微软雅黑" w:hint="eastAsia"/>
          <w:color w:val="666666"/>
          <w:sz w:val="21"/>
          <w:szCs w:val="21"/>
          <w:shd w:val="clear" w:color="auto" w:fill="FFFFFF"/>
        </w:rPr>
        <w:t>号——收入》和《企业会计准则第</w:t>
      </w:r>
      <w:r>
        <w:rPr>
          <w:rFonts w:ascii="微软雅黑" w:eastAsia="微软雅黑" w:hAnsi="微软雅黑" w:cs="微软雅黑" w:hint="eastAsia"/>
          <w:color w:val="666666"/>
          <w:sz w:val="21"/>
          <w:szCs w:val="21"/>
          <w:shd w:val="clear" w:color="auto" w:fill="FFFFFF"/>
        </w:rPr>
        <w:t>21</w:t>
      </w:r>
      <w:r>
        <w:rPr>
          <w:rFonts w:ascii="微软雅黑" w:eastAsia="微软雅黑" w:hAnsi="微软雅黑" w:cs="微软雅黑" w:hint="eastAsia"/>
          <w:color w:val="666666"/>
          <w:sz w:val="21"/>
          <w:szCs w:val="21"/>
          <w:shd w:val="clear" w:color="auto" w:fill="FFFFFF"/>
        </w:rPr>
        <w:t>号——租赁》。</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（五）企业合并中的或有对价，适用《企业会计准则第</w:t>
      </w:r>
      <w:r>
        <w:rPr>
          <w:rFonts w:ascii="微软雅黑" w:eastAsia="微软雅黑" w:hAnsi="微软雅黑" w:cs="微软雅黑" w:hint="eastAsia"/>
          <w:color w:val="666666"/>
          <w:sz w:val="21"/>
          <w:szCs w:val="21"/>
          <w:shd w:val="clear" w:color="auto" w:fill="FFFFFF"/>
        </w:rPr>
        <w:t>20</w:t>
      </w:r>
      <w:r>
        <w:rPr>
          <w:rFonts w:ascii="微软雅黑" w:eastAsia="微软雅黑" w:hAnsi="微软雅黑" w:cs="微软雅黑" w:hint="eastAsia"/>
          <w:color w:val="666666"/>
          <w:sz w:val="21"/>
          <w:szCs w:val="21"/>
          <w:shd w:val="clear" w:color="auto" w:fill="FFFFFF"/>
        </w:rPr>
        <w:t>号——企业合并》。</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（六）财务担保合同，适用《企业会计准则第</w:t>
      </w:r>
      <w:r>
        <w:rPr>
          <w:rFonts w:ascii="微软雅黑" w:eastAsia="微软雅黑" w:hAnsi="微软雅黑" w:cs="微软雅黑" w:hint="eastAsia"/>
          <w:color w:val="666666"/>
          <w:sz w:val="21"/>
          <w:szCs w:val="21"/>
          <w:shd w:val="clear" w:color="auto" w:fill="FFFFFF"/>
        </w:rPr>
        <w:t>22</w:t>
      </w:r>
      <w:r>
        <w:rPr>
          <w:rFonts w:ascii="微软雅黑" w:eastAsia="微软雅黑" w:hAnsi="微软雅黑" w:cs="微软雅黑" w:hint="eastAsia"/>
          <w:color w:val="666666"/>
          <w:sz w:val="21"/>
          <w:szCs w:val="21"/>
          <w:shd w:val="clear" w:color="auto" w:fill="FFFFFF"/>
        </w:rPr>
        <w:t>号——金融工具确认和计量》、《企业会计准则第</w:t>
      </w:r>
      <w:r>
        <w:rPr>
          <w:rFonts w:ascii="微软雅黑" w:eastAsia="微软雅黑" w:hAnsi="微软雅黑" w:cs="微软雅黑" w:hint="eastAsia"/>
          <w:color w:val="666666"/>
          <w:sz w:val="21"/>
          <w:szCs w:val="21"/>
          <w:shd w:val="clear" w:color="auto" w:fill="FFFFFF"/>
        </w:rPr>
        <w:t>23</w:t>
      </w:r>
      <w:r>
        <w:rPr>
          <w:rFonts w:ascii="微软雅黑" w:eastAsia="微软雅黑" w:hAnsi="微软雅黑" w:cs="微软雅黑" w:hint="eastAsia"/>
          <w:color w:val="666666"/>
          <w:sz w:val="21"/>
          <w:szCs w:val="21"/>
          <w:shd w:val="clear" w:color="auto" w:fill="FFFFFF"/>
        </w:rPr>
        <w:t>号——金融资产转移》、《企业会计准则第</w:t>
      </w:r>
      <w:r>
        <w:rPr>
          <w:rFonts w:ascii="微软雅黑" w:eastAsia="微软雅黑" w:hAnsi="微软雅黑" w:cs="微软雅黑" w:hint="eastAsia"/>
          <w:color w:val="666666"/>
          <w:sz w:val="21"/>
          <w:szCs w:val="21"/>
          <w:shd w:val="clear" w:color="auto" w:fill="FFFFFF"/>
        </w:rPr>
        <w:t>24</w:t>
      </w:r>
      <w:r>
        <w:rPr>
          <w:rFonts w:ascii="微软雅黑" w:eastAsia="微软雅黑" w:hAnsi="微软雅黑" w:cs="微软雅黑" w:hint="eastAsia"/>
          <w:color w:val="666666"/>
          <w:sz w:val="21"/>
          <w:szCs w:val="21"/>
          <w:shd w:val="clear" w:color="auto" w:fill="FFFFFF"/>
        </w:rPr>
        <w:t>号——套期会计》和《企业会计准则第</w:t>
      </w:r>
      <w:r>
        <w:rPr>
          <w:rFonts w:ascii="微软雅黑" w:eastAsia="微软雅黑" w:hAnsi="微软雅黑" w:cs="微软雅黑" w:hint="eastAsia"/>
          <w:color w:val="666666"/>
          <w:sz w:val="21"/>
          <w:szCs w:val="21"/>
          <w:shd w:val="clear" w:color="auto" w:fill="FFFFFF"/>
        </w:rPr>
        <w:t>37</w:t>
      </w:r>
      <w:r>
        <w:rPr>
          <w:rFonts w:ascii="微软雅黑" w:eastAsia="微软雅黑" w:hAnsi="微软雅黑" w:cs="微软雅黑" w:hint="eastAsia"/>
          <w:color w:val="666666"/>
          <w:sz w:val="21"/>
          <w:szCs w:val="21"/>
          <w:shd w:val="clear" w:color="auto" w:fill="FFFFFF"/>
        </w:rPr>
        <w:t>号——金融工具列报》（以下统称金融工具相关会计准则）。企业明确表明将此类合同视作保险合同，并且已按照保险合同相关会计准则进行会计处理的，应当基于单项合同选择适用本准则或金融工具相关会计准则。选择一经作出，不得撤销。</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（七）符合保险合同定义的信用卡合同或类似合同，如果定价时未单独评估和反映单一保单持有人的保险风险，合同条款中除保险保障服务以外的部分，适用金融工具相关会计准则或其他相关会计准则。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符合保险合同定义但主要以固定收费方式提供服务的合同，同时符合下列条件的，企业可以选择适用《企业会计准则第</w:t>
      </w:r>
      <w:r>
        <w:rPr>
          <w:rFonts w:ascii="微软雅黑" w:eastAsia="微软雅黑" w:hAnsi="微软雅黑" w:cs="微软雅黑" w:hint="eastAsia"/>
          <w:color w:val="666666"/>
          <w:sz w:val="21"/>
          <w:szCs w:val="21"/>
          <w:shd w:val="clear" w:color="auto" w:fill="FFFFFF"/>
        </w:rPr>
        <w:t>14</w:t>
      </w:r>
      <w:r>
        <w:rPr>
          <w:rFonts w:ascii="微软雅黑" w:eastAsia="微软雅黑" w:hAnsi="微软雅黑" w:cs="微软雅黑" w:hint="eastAsia"/>
          <w:color w:val="666666"/>
          <w:sz w:val="21"/>
          <w:szCs w:val="21"/>
          <w:shd w:val="clear" w:color="auto" w:fill="FFFFFF"/>
        </w:rPr>
        <w:t>号——收入》或本准则：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（一）合同定价不反映对单个保单持有人的风险评估；</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（二）合同通过提供服务而非支付现金补偿保单持有人；</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（三）合同转移的保险风险主要源于保单持有人对服务的使用而非服务成本的不确定性。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该选择应当基于单项合同，一经作出，不得撤销。</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符合保险合同定义但对保险事项的赔偿金额仅限于清算保单持有人因该合同而产生的支付义务的合同（如包含死亡豁免条款的贷款合同），企业可以选择适用金融</w:t>
      </w:r>
      <w:r>
        <w:rPr>
          <w:rFonts w:ascii="微软雅黑" w:eastAsia="微软雅黑" w:hAnsi="微软雅黑" w:cs="微软雅黑" w:hint="eastAsia"/>
          <w:color w:val="666666"/>
          <w:sz w:val="21"/>
          <w:szCs w:val="21"/>
          <w:shd w:val="clear" w:color="auto" w:fill="FFFFFF"/>
        </w:rPr>
        <w:t>工具相关会计准则或本准则。该选择应当基于保险合同组合，一经作出，不得撤销。</w:t>
      </w:r>
    </w:p>
    <w:p w:rsidR="007D2D43" w:rsidRPr="009D25BA" w:rsidRDefault="00C73C6C" w:rsidP="009D25BA">
      <w:pPr>
        <w:pStyle w:val="a5"/>
        <w:widowControl/>
        <w:spacing w:beforeAutospacing="0" w:afterAutospacing="0" w:line="450" w:lineRule="atLeast"/>
        <w:ind w:firstLine="420"/>
        <w:jc w:val="center"/>
        <w:rPr>
          <w:b/>
        </w:rPr>
      </w:pPr>
      <w:r w:rsidRPr="009D25BA">
        <w:rPr>
          <w:rFonts w:ascii="微软雅黑" w:eastAsia="微软雅黑" w:hAnsi="微软雅黑" w:cs="微软雅黑" w:hint="eastAsia"/>
          <w:b/>
          <w:color w:val="666666"/>
          <w:sz w:val="21"/>
          <w:szCs w:val="21"/>
          <w:shd w:val="clear" w:color="auto" w:fill="FFFFFF"/>
        </w:rPr>
        <w:t>第二章</w:t>
      </w:r>
      <w:r w:rsidRPr="009D25BA">
        <w:rPr>
          <w:rFonts w:ascii="微软雅黑" w:eastAsia="微软雅黑" w:hAnsi="微软雅黑" w:cs="微软雅黑" w:hint="eastAsia"/>
          <w:b/>
          <w:color w:val="666666"/>
          <w:sz w:val="21"/>
          <w:szCs w:val="21"/>
          <w:shd w:val="clear" w:color="auto" w:fill="FFFFFF"/>
        </w:rPr>
        <w:t xml:space="preserve">  </w:t>
      </w:r>
      <w:r w:rsidRPr="009D25BA">
        <w:rPr>
          <w:rFonts w:ascii="微软雅黑" w:eastAsia="微软雅黑" w:hAnsi="微软雅黑" w:cs="微软雅黑" w:hint="eastAsia"/>
          <w:b/>
          <w:color w:val="666666"/>
          <w:sz w:val="21"/>
          <w:szCs w:val="21"/>
          <w:shd w:val="clear" w:color="auto" w:fill="FFFFFF"/>
        </w:rPr>
        <w:t>保险合同的识别、合并和分拆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企业应当评估各单项合同的保险风险是否重大，据此判断该合同是否为保险合同。对于合同开始日经评估符合保险合同定义的合同，后续不再重新评估。</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企业基于整体商业目的而与同一或相关联的多个合同对方订立的多份保险合同，应当合并为一份合同进行会计处理，以反映其商业实质。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保险合同中包含多个组成部分的，企业应当将下列组成部分予以分拆，并分别适用相关会计准则：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（一）符合《企业会计准则第</w:t>
      </w:r>
      <w:r>
        <w:rPr>
          <w:rFonts w:ascii="微软雅黑" w:eastAsia="微软雅黑" w:hAnsi="微软雅黑" w:cs="微软雅黑" w:hint="eastAsia"/>
          <w:color w:val="666666"/>
          <w:sz w:val="21"/>
          <w:szCs w:val="21"/>
          <w:shd w:val="clear" w:color="auto" w:fill="FFFFFF"/>
        </w:rPr>
        <w:t>22</w:t>
      </w:r>
      <w:r>
        <w:rPr>
          <w:rFonts w:ascii="微软雅黑" w:eastAsia="微软雅黑" w:hAnsi="微软雅黑" w:cs="微软雅黑" w:hint="eastAsia"/>
          <w:color w:val="666666"/>
          <w:sz w:val="21"/>
          <w:szCs w:val="21"/>
          <w:shd w:val="clear" w:color="auto" w:fill="FFFFFF"/>
        </w:rPr>
        <w:t>号——金融工具确认和计量》分拆条件的嵌入衍生工具，适用金融工具相关会计准则。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（二）可明确区分的投资成分，适用金融工具相关会计准则，但与投资成分相关的合同条款符合具有相机参与分红特征的投资合同定义的，应当适用本准则。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（三）可明确区分的商品或非保险合同服务的承诺，适用《企业会计准则第</w:t>
      </w:r>
      <w:r>
        <w:rPr>
          <w:rFonts w:ascii="微软雅黑" w:eastAsia="微软雅黑" w:hAnsi="微软雅黑" w:cs="微软雅黑" w:hint="eastAsia"/>
          <w:color w:val="666666"/>
          <w:sz w:val="21"/>
          <w:szCs w:val="21"/>
          <w:shd w:val="clear" w:color="auto" w:fill="FFFFFF"/>
        </w:rPr>
        <w:t>14</w:t>
      </w:r>
      <w:r>
        <w:rPr>
          <w:rFonts w:ascii="微软雅黑" w:eastAsia="微软雅黑" w:hAnsi="微软雅黑" w:cs="微软雅黑" w:hint="eastAsia"/>
          <w:color w:val="666666"/>
          <w:sz w:val="21"/>
          <w:szCs w:val="21"/>
          <w:shd w:val="clear" w:color="auto" w:fill="FFFFFF"/>
        </w:rPr>
        <w:t>号——收入》。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保险合同经上述分拆后的剩余组成部分，适用本准则。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投资成分，是指无论保险事项是否发生均须偿还给保单持有人的金额。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保险合同服务，是指企业为保险事项提供的保险保障服务、为不具有直接</w:t>
      </w:r>
      <w:r>
        <w:rPr>
          <w:rFonts w:ascii="微软雅黑" w:eastAsia="微软雅黑" w:hAnsi="微软雅黑" w:cs="微软雅黑" w:hint="eastAsia"/>
          <w:color w:val="666666"/>
          <w:sz w:val="21"/>
          <w:szCs w:val="21"/>
          <w:shd w:val="clear" w:color="auto" w:fill="FFFFFF"/>
        </w:rPr>
        <w:t>参与分红特征的保险合同持有人提供的投资回报服务，以及代具有直接参与分红特征的保险合同持有人管理基础项目的投资相关服务。</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企业应当根据保险合同分拆情况分摊合同现金流量。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合同现金流量扣除已分拆嵌入衍生工具和可明确区分的投资成分的现金流量后，在保险成分（含未分拆嵌入衍生工具、不可明确区分的投资成分和不可明确区分的商品或非保险合同服务的承诺，下同）和可明确区分的商品或非保险合同服务的承诺之间进行分摊，分摊至保险成分的现金流量适用本准则。</w:t>
      </w:r>
    </w:p>
    <w:p w:rsidR="007D2D43" w:rsidRPr="009D25BA" w:rsidRDefault="00C73C6C" w:rsidP="009D25BA">
      <w:pPr>
        <w:pStyle w:val="a5"/>
        <w:widowControl/>
        <w:spacing w:beforeAutospacing="0" w:afterAutospacing="0" w:line="450" w:lineRule="atLeast"/>
        <w:ind w:firstLine="420"/>
        <w:jc w:val="center"/>
        <w:rPr>
          <w:b/>
        </w:rPr>
      </w:pPr>
      <w:r w:rsidRPr="009D25BA">
        <w:rPr>
          <w:rFonts w:ascii="微软雅黑" w:eastAsia="微软雅黑" w:hAnsi="微软雅黑" w:cs="微软雅黑" w:hint="eastAsia"/>
          <w:b/>
          <w:color w:val="666666"/>
          <w:sz w:val="21"/>
          <w:szCs w:val="21"/>
          <w:shd w:val="clear" w:color="auto" w:fill="FFFFFF"/>
        </w:rPr>
        <w:t>第三章</w:t>
      </w:r>
      <w:r w:rsidRPr="009D25BA">
        <w:rPr>
          <w:rFonts w:ascii="微软雅黑" w:eastAsia="微软雅黑" w:hAnsi="微软雅黑" w:cs="微软雅黑" w:hint="eastAsia"/>
          <w:b/>
          <w:color w:val="666666"/>
          <w:sz w:val="21"/>
          <w:szCs w:val="21"/>
          <w:shd w:val="clear" w:color="auto" w:fill="FFFFFF"/>
        </w:rPr>
        <w:t xml:space="preserve">  </w:t>
      </w:r>
      <w:r w:rsidRPr="009D25BA">
        <w:rPr>
          <w:rFonts w:ascii="微软雅黑" w:eastAsia="微软雅黑" w:hAnsi="微软雅黑" w:cs="微软雅黑" w:hint="eastAsia"/>
          <w:b/>
          <w:color w:val="666666"/>
          <w:sz w:val="21"/>
          <w:szCs w:val="21"/>
          <w:shd w:val="clear" w:color="auto" w:fill="FFFFFF"/>
        </w:rPr>
        <w:t>保险合同的分组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企业应当将具有相似风险且统一</w:t>
      </w:r>
      <w:r>
        <w:rPr>
          <w:rFonts w:ascii="微软雅黑" w:eastAsia="微软雅黑" w:hAnsi="微软雅黑" w:cs="微软雅黑" w:hint="eastAsia"/>
          <w:color w:val="666666"/>
          <w:sz w:val="21"/>
          <w:szCs w:val="21"/>
          <w:shd w:val="clear" w:color="auto" w:fill="FFFFFF"/>
        </w:rPr>
        <w:t>管理的保险合同归为同一保险合同组合。</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企业应当将同一合同组合至少分为下列合同组：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（一）初始确认时存在亏损的合同组；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（二）初始确认时无显著可能性在未来发生亏损的合同组；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（三）该组合中剩余合同组成的合同组。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企业不得将签发时间间隔超过一年的合同归入同一合同组。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企业可以按照获利水平、亏损程度或初始确认后在未来发生亏损的可能性等，对合同组作进一步细分。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企业应当以合同组合中单项合同为基础，逐项评估其归属的合同组。但有合理可靠的信息表明多项合同属于同一合同组的，企业可以多项</w:t>
      </w:r>
      <w:r>
        <w:rPr>
          <w:rFonts w:ascii="微软雅黑" w:eastAsia="微软雅黑" w:hAnsi="微软雅黑" w:cs="微软雅黑" w:hint="eastAsia"/>
          <w:color w:val="666666"/>
          <w:sz w:val="21"/>
          <w:szCs w:val="21"/>
          <w:shd w:val="clear" w:color="auto" w:fill="FFFFFF"/>
        </w:rPr>
        <w:t>合同为基础评估其归属的合同组。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针对不同特征保单持有人设定不同价格或承诺不同利益水平的实际能力因法律法规或监管要求而受到限制，并将因此限制而导致合同组合中的合同被归入不同合同组的，企业可以不考虑相关限制的影响，将这些合同归入同一合同组。</w:t>
      </w:r>
    </w:p>
    <w:p w:rsidR="007D2D43" w:rsidRPr="009D25BA" w:rsidRDefault="00C73C6C" w:rsidP="009D25BA">
      <w:pPr>
        <w:pStyle w:val="a5"/>
        <w:widowControl/>
        <w:spacing w:beforeAutospacing="0" w:afterAutospacing="0" w:line="450" w:lineRule="atLeast"/>
        <w:ind w:firstLine="420"/>
        <w:jc w:val="center"/>
        <w:rPr>
          <w:b/>
        </w:rPr>
      </w:pPr>
      <w:r w:rsidRPr="009D25BA">
        <w:rPr>
          <w:rFonts w:ascii="微软雅黑" w:eastAsia="微软雅黑" w:hAnsi="微软雅黑" w:cs="微软雅黑" w:hint="eastAsia"/>
          <w:b/>
          <w:color w:val="666666"/>
          <w:sz w:val="21"/>
          <w:szCs w:val="21"/>
          <w:shd w:val="clear" w:color="auto" w:fill="FFFFFF"/>
        </w:rPr>
        <w:t>第四章</w:t>
      </w:r>
      <w:r w:rsidRPr="009D25BA">
        <w:rPr>
          <w:rFonts w:ascii="微软雅黑" w:eastAsia="微软雅黑" w:hAnsi="微软雅黑" w:cs="微软雅黑" w:hint="eastAsia"/>
          <w:b/>
          <w:color w:val="666666"/>
          <w:sz w:val="21"/>
          <w:szCs w:val="21"/>
          <w:shd w:val="clear" w:color="auto" w:fill="FFFFFF"/>
        </w:rPr>
        <w:t xml:space="preserve">  </w:t>
      </w:r>
      <w:r w:rsidRPr="009D25BA">
        <w:rPr>
          <w:rFonts w:ascii="微软雅黑" w:eastAsia="微软雅黑" w:hAnsi="微软雅黑" w:cs="微软雅黑" w:hint="eastAsia"/>
          <w:b/>
          <w:color w:val="666666"/>
          <w:sz w:val="21"/>
          <w:szCs w:val="21"/>
          <w:shd w:val="clear" w:color="auto" w:fill="FFFFFF"/>
        </w:rPr>
        <w:t>确认</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企业应当在下列时点中的最早时点确认其签发的合同组：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（一）责任期开始日；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（二）保单持有人首付款到期日，或者未约定首付款到期日时企业实际收到首付款日；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（三）发生亏损时。</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合同组合中的合同符合上述时点要求时，企业应当根据本准则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第三章</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相关规定评估其归属的合同组，后续不再重新评估。</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责任期，是指企业向保单持有人提供保险合同服务的期间。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企业应当将合同组确认前已付或应付的、系统合理分摊至相关合同组的保险获取现金流量，确认为保险获取现金流量资产。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保险获取现金流量，是指因销售、核保和承保已签发或预计签发的合同组而产生的，可直接归属于其对应合同组合的现金流量。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合同组合中的合同归入其所属合同组时，企业应当终止确认该合同对应的保险获取现金流量资产。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资产负债表日，如果事实和情况表明保险获取现金流量资产</w:t>
      </w:r>
      <w:r>
        <w:rPr>
          <w:rFonts w:ascii="微软雅黑" w:eastAsia="微软雅黑" w:hAnsi="微软雅黑" w:cs="微软雅黑" w:hint="eastAsia"/>
          <w:color w:val="666666"/>
          <w:sz w:val="21"/>
          <w:szCs w:val="21"/>
          <w:shd w:val="clear" w:color="auto" w:fill="FFFFFF"/>
        </w:rPr>
        <w:t>可能存在减值迹象，企业应当估计其可收回金额。保险获取现金流量资产的可收回金额低于其账面价值的，企业应当计提资产减值准备，确认减值损失，计入当期损益。导致以前期间减值因素已经消失的，应当转回原已计提的资产减值准备，计入当期损益。</w:t>
      </w:r>
    </w:p>
    <w:p w:rsidR="007D2D43" w:rsidRPr="009D25BA" w:rsidRDefault="00C73C6C" w:rsidP="009D25BA">
      <w:pPr>
        <w:pStyle w:val="a5"/>
        <w:widowControl/>
        <w:spacing w:beforeAutospacing="0" w:afterAutospacing="0" w:line="450" w:lineRule="atLeast"/>
        <w:ind w:firstLine="420"/>
        <w:jc w:val="center"/>
        <w:rPr>
          <w:b/>
        </w:rPr>
      </w:pPr>
      <w:r w:rsidRPr="009D25BA">
        <w:rPr>
          <w:rFonts w:ascii="微软雅黑" w:eastAsia="微软雅黑" w:hAnsi="微软雅黑" w:cs="微软雅黑" w:hint="eastAsia"/>
          <w:b/>
          <w:color w:val="666666"/>
          <w:sz w:val="21"/>
          <w:szCs w:val="21"/>
          <w:shd w:val="clear" w:color="auto" w:fill="FFFFFF"/>
        </w:rPr>
        <w:t>第五章</w:t>
      </w:r>
      <w:r w:rsidRPr="009D25BA">
        <w:rPr>
          <w:rFonts w:ascii="微软雅黑" w:eastAsia="微软雅黑" w:hAnsi="微软雅黑" w:cs="微软雅黑" w:hint="eastAsia"/>
          <w:b/>
          <w:color w:val="666666"/>
          <w:sz w:val="21"/>
          <w:szCs w:val="21"/>
          <w:shd w:val="clear" w:color="auto" w:fill="FFFFFF"/>
        </w:rPr>
        <w:t xml:space="preserve">  </w:t>
      </w:r>
      <w:r w:rsidRPr="009D25BA">
        <w:rPr>
          <w:rFonts w:ascii="微软雅黑" w:eastAsia="微软雅黑" w:hAnsi="微软雅黑" w:cs="微软雅黑" w:hint="eastAsia"/>
          <w:b/>
          <w:color w:val="666666"/>
          <w:sz w:val="21"/>
          <w:szCs w:val="21"/>
          <w:shd w:val="clear" w:color="auto" w:fill="FFFFFF"/>
        </w:rPr>
        <w:t>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第一节</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一般规定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企业应当以合同组作为计量单元。</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企业应当在合同组初始确认时按照履约现金流量与合同服务边际之和对保险合同负债进行初始计量。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合同服务边际，是指企业因在未来提供保险合同服务而将于未来确认的未赚利润。</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本准则第六章对分出的再保险合同组确认和计</w:t>
      </w:r>
      <w:r>
        <w:rPr>
          <w:rFonts w:ascii="微软雅黑" w:eastAsia="微软雅黑" w:hAnsi="微软雅黑" w:cs="微软雅黑" w:hint="eastAsia"/>
          <w:color w:val="666666"/>
          <w:sz w:val="21"/>
          <w:szCs w:val="21"/>
          <w:shd w:val="clear" w:color="auto" w:fill="FFFFFF"/>
        </w:rPr>
        <w:t>量另有规定的，从其规定。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履约现金流量包括下列各项：</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（一）与履行保险合同直接相关的未来现金流量的估计；</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（二）货币时间价值及金融风险调整；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（三）非金融风险调整。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非金融风险调整，是指企业在履行保险合同时，因承担非金融风险导致的未来现金流量在金额和时间方面的不确定性而要求得到的补偿。</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履约现金流量的估计不考虑企业自身的不履约风险。</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企业可以在高于合同组或合同组合的汇总层面估计履约现金流量，并采用系统合理的方法分摊至合同组。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未来现金流量的估计应当符合下列要求：</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（一）未来现金流量估计值为无偏的概率加权平均值；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（二）有关市场变量的估计应当与可观察市场数据一致；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（三）以当前可获得的信息为基础，反映计量时存在的情况和假设；</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（四）与货币时间价值及金融风险调整分别估计，估计技术适合合并估计的除外。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企业估计未来现金流量时应当考虑合同组内各单项合同边界内的现金流量，不得将合同边界外的未来现金流量用于合同组的计量。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企业有权要求保单持有人支付保费或者有实质性义务向保单持有人提供保险合同服务的，该权利或义务所产生的现金流量在保险合同边界内。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存在下列情形之一的，表明企业无实质性义务向保单持有人提供保险合同服务：</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（一）企业有实际能力重新评估该保单持有人的风险，并据此可重新设定价格或承诺利益水平以充分反映该风险。</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（二）企业有实际能力重新评估该合同所属合同组合的风险，并据此可重新设定价格或承诺利益水平以充分反映该风险，且重新评估日前对应保费在定价时未考虑重新评估日后的风险。</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企业应当采用适当的折现率对履约现金流量进行货币时间价值及金融风险调整，以反映货币时间价值及未包含在未来现金流量估计中的有关金融风险。适当的折现率应当同时符合下列</w:t>
      </w:r>
      <w:r>
        <w:rPr>
          <w:rFonts w:ascii="微软雅黑" w:eastAsia="微软雅黑" w:hAnsi="微软雅黑" w:cs="微软雅黑" w:hint="eastAsia"/>
          <w:color w:val="666666"/>
          <w:sz w:val="21"/>
          <w:szCs w:val="21"/>
          <w:shd w:val="clear" w:color="auto" w:fill="FFFFFF"/>
        </w:rPr>
        <w:t>要求：</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（一）反映货币时间价值、保险合同现金流量特征以及流动性特征；</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（二）基于与保险合同具有一致现金流量特征的金融工具当前可观察市场数据确定，且不考虑与保险合同现金流量无关但影响可观察市场数据的其他因素。</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企业在估计履约现金流量时应当考虑非金融风险调整，以反映非金融风险对履约现金流量的影响。</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企业应当单独估计非金融风险调整，不得在未来现金流量和折现率的估计中隐含非金融风险调整。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企业应当在合同组初始确认时计算下列各项之和：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（一）履约现金流量；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（二）在该日终止确认保险获取现金</w:t>
      </w:r>
      <w:r>
        <w:rPr>
          <w:rFonts w:ascii="微软雅黑" w:eastAsia="微软雅黑" w:hAnsi="微软雅黑" w:cs="微软雅黑" w:hint="eastAsia"/>
          <w:color w:val="666666"/>
          <w:sz w:val="21"/>
          <w:szCs w:val="21"/>
          <w:shd w:val="clear" w:color="auto" w:fill="FFFFFF"/>
        </w:rPr>
        <w:t>流量资产以及其他相关资产或负债对应的现金流量；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（三）合同组内合同在该日产生的现金流量。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上述各项之和反映为现金净流入的，企业应当将其确认为合同服务边际；反映为现金净流出的，企业应当将其作为首日亏损计入当期损益。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企业应当在资产负债表日按照未到期责任负债与已发生赔款负债之和对保险合同负债进行后续计量。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未到期责任负债包括资产负债表日分摊至保险合同组的、与未到期责任有关的履约现金流量和当日该合同组的合同服务边际。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已发生赔款负债包括资产负债表日分摊至保险合同组的、与已发生赔案及其他相关费用有关的</w:t>
      </w:r>
      <w:r>
        <w:rPr>
          <w:rFonts w:ascii="微软雅黑" w:eastAsia="微软雅黑" w:hAnsi="微软雅黑" w:cs="微软雅黑" w:hint="eastAsia"/>
          <w:color w:val="666666"/>
          <w:sz w:val="21"/>
          <w:szCs w:val="21"/>
          <w:shd w:val="clear" w:color="auto" w:fill="FFFFFF"/>
        </w:rPr>
        <w:t>履约现金流量。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对于不具有直接参与分红特征的保险合同组，资产负债表日合同组的合同服务边际账面价值应当以期初账面价值为基础，经下列各项调整后予以确定：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（一）当期归入该合同组的合同对合同服务边际的影响金额；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（二）合同服务边际在当期计提的利息，计息利率为该合同组内合同确认时、不随基础项目回报变动的现金流量所适用的加权平均利率；</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（三）与未来服务相关的履约现金流量的变动金额，但履约现金流量增加额超过合同服务边际账面价值所导致的亏损部分，以及履约现金流量减少额抵销的未到期责任负债的亏损部分除外；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w:t>
      </w:r>
      <w:r>
        <w:rPr>
          <w:rFonts w:ascii="微软雅黑" w:eastAsia="微软雅黑" w:hAnsi="微软雅黑" w:cs="微软雅黑" w:hint="eastAsia"/>
          <w:color w:val="666666"/>
          <w:sz w:val="21"/>
          <w:szCs w:val="21"/>
          <w:shd w:val="clear" w:color="auto" w:fill="FFFFFF"/>
        </w:rPr>
        <w:t>四）合同服务边际在当期产生的汇兑差额；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（五）合同服务边际在当期的摊销金额。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按照提供保险合同服务的模式，合理确定合同组在责任期内各个期间的责任单元，并据此对根据本准则第二十九条（一）至（四）调整后的合同服务边际账面价值进行摊销，计入当期及以后期间保险服务收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第三十一条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因当期提供保险合同服务导致未到期责任负债账面价值的减少额，应当确认为保险服务收入；因当期发生赔案及其他相关费用导致已发生赔款负债账面价值的增加额，以及与之相关的履约现金流量的后续变动额，应当确认为保险服务费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企业在确认保险服务收入和保险服务费用时，不得包含保险合同中的投资成分。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企业应当将合同组内的保险获取现金流量，随时间流逝进行系统摊销，计入责任期内各个期间的保险服务费用，同时确认为保险服务收入，以反映该类现金流量所对应的保费的收回。</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企业应当将货币时间价值及金融风险的影响导致的未到期责任负债和已发生赔款负债账面价值变动额，作为保险合同金融变动额。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企业可以选择将货币时间价值及金融风险的影响导致的非金融风险调整变动额不作为保险合同金融变动额。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企业应当考虑持有的相关资产及其会计处理，在合同组合层面对保险合同金融变动额的会计处理做出下列会计政策选择：</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（一）将保险合同金融变动额全额计入当期保险财务损益。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将保险合同金融变动额分解计入当期保险财务损益和其他综合收益。选择该会计政策的，企业应当在合同组剩余期限内，采用系统合理的方法确定计入各个期间保险财务损益的金额，其与保险合同金融变动额的差额计入其他综合收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保险财务损益，是指计入当期及以后期间损益的保险合同金融变动额。保险财务损益包括企业签发的保险合同的承保财务损益和分出的再保险合同的分出再</w:t>
      </w:r>
      <w:r>
        <w:rPr>
          <w:rFonts w:ascii="微软雅黑" w:eastAsia="微软雅黑" w:hAnsi="微软雅黑" w:cs="微软雅黑" w:hint="eastAsia"/>
          <w:color w:val="666666"/>
          <w:sz w:val="21"/>
          <w:szCs w:val="21"/>
          <w:shd w:val="clear" w:color="auto" w:fill="FFFFFF"/>
        </w:rPr>
        <w:t>保险财务损益。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企业应当将非金融风险调整账面价值变动中除保险合同金融变动额以外的金额计入当期及以后期间损益。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第三十六条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对于本准则适用范围内的具有相机参与分红特征的投资合同，企业应当按照本准则有关保险合同的规定进行会计处理，但下列各项特殊规定除外：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（一）初始确认的时点为企业成为合同一方的日期。</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企业有支付现金的实质性义务的，该义务所产生的现金流量在合同边界内。企业有实际能力对其支付现金的承诺进行重新定价以充分反映其承诺支付现金的金额及相关风险的，表明企业无支付现金的实质性义务。</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（三）企业应当按照投资服务的提供模式，在合同组期限内采用系统合理的方法对合同服务边际进行摊销，计入当期及以后期间损益。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对于中期财务报表中根据本准则作出的相关会计估计处理结果，企业应当就是否在本年度以后中期财务报表和年度财务报表中进行调整做出会计政策选择，并一致应用于本准则适用范围内的合同组。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企业对产生外币现金流量的合同组进行计量时，应当将保险合同负债视为货币性项目，根据《企业会计准则第</w:t>
      </w:r>
      <w:r>
        <w:rPr>
          <w:rFonts w:ascii="微软雅黑" w:eastAsia="微软雅黑" w:hAnsi="微软雅黑" w:cs="微软雅黑" w:hint="eastAsia"/>
          <w:color w:val="666666"/>
          <w:sz w:val="21"/>
          <w:szCs w:val="21"/>
          <w:shd w:val="clear" w:color="auto" w:fill="FFFFFF"/>
        </w:rPr>
        <w:t>19</w:t>
      </w:r>
      <w:r>
        <w:rPr>
          <w:rFonts w:ascii="微软雅黑" w:eastAsia="微软雅黑" w:hAnsi="微软雅黑" w:cs="微软雅黑" w:hint="eastAsia"/>
          <w:color w:val="666666"/>
          <w:sz w:val="21"/>
          <w:szCs w:val="21"/>
          <w:shd w:val="clear" w:color="auto" w:fill="FFFFFF"/>
        </w:rPr>
        <w:t>号——外币折算》有关规定处理。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资产负债表日，产生外币现金流量的合同组的汇兑差额应当计入</w:t>
      </w:r>
      <w:r>
        <w:rPr>
          <w:rFonts w:ascii="微软雅黑" w:eastAsia="微软雅黑" w:hAnsi="微软雅黑" w:cs="微软雅黑" w:hint="eastAsia"/>
          <w:color w:val="666666"/>
          <w:sz w:val="21"/>
          <w:szCs w:val="21"/>
          <w:shd w:val="clear" w:color="auto" w:fill="FFFFFF"/>
        </w:rPr>
        <w:t>当期损益。企业根据本准则第三十四条规定选择将保险合同金融变动额分解计入当期保险财务损益和其他综合收益的，与计入其他综合收益的金额相关的汇兑差额，应当计入其他综合收益。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第二节</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具有直接参与分红特征的保险合同组计量的特殊规定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企业应当在合同开始日评估一项合同是否为具有直接参与分红特征的保险合同，后续不再重新评估。</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具有直接参与分红特征的保险合同，是指在合同开始日同时符合下列条件的保险合同：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（一）合同条款规定保单持有人参与分享清晰可辨认的基础项目；</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（二）企业预计将基础项目公允价值</w:t>
      </w:r>
      <w:r>
        <w:rPr>
          <w:rFonts w:ascii="微软雅黑" w:eastAsia="微软雅黑" w:hAnsi="微软雅黑" w:cs="微软雅黑" w:hint="eastAsia"/>
          <w:color w:val="666666"/>
          <w:sz w:val="21"/>
          <w:szCs w:val="21"/>
          <w:shd w:val="clear" w:color="auto" w:fill="FFFFFF"/>
        </w:rPr>
        <w:t>变动回报中的相当大部分支付给保单持有人；</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（三）预计应付保单持有人金额变动中的相当大部分将随基础项目公允价值的变动而变动。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企业应当按照基础项目公允价值扣除浮动收费的差额，估计具有直接参与分红特征的保险合同组的履约现金流量。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浮动收费，是指企业因代保单持有人管理基础项目并提供投资相关服务而取得的对价，等于基础项目公允价值中企业享有份额减去不随基础项目回报变动的履约现金流量。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对于具有直接参与分红特征的保险合同组，资产负债表日合同组的合同服务边际账面价值应当以期初账面价值为基础，经</w:t>
      </w:r>
      <w:r>
        <w:rPr>
          <w:rFonts w:ascii="微软雅黑" w:eastAsia="微软雅黑" w:hAnsi="微软雅黑" w:cs="微软雅黑" w:hint="eastAsia"/>
          <w:color w:val="666666"/>
          <w:sz w:val="21"/>
          <w:szCs w:val="21"/>
          <w:shd w:val="clear" w:color="auto" w:fill="FFFFFF"/>
        </w:rPr>
        <w:t>下列调整后予以确定：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（一）当期归入该合同组的合同对合同服务边际的影响金额。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（二）基础项目公允价值中企业享有份额的变动金额，但以下情形除外：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1</w:t>
      </w:r>
      <w:r>
        <w:rPr>
          <w:rFonts w:ascii="微软雅黑" w:eastAsia="微软雅黑" w:hAnsi="微软雅黑" w:cs="微软雅黑" w:hint="eastAsia"/>
          <w:color w:val="666666"/>
          <w:sz w:val="21"/>
          <w:szCs w:val="21"/>
          <w:shd w:val="clear" w:color="auto" w:fill="FFFFFF"/>
        </w:rPr>
        <w:t>．企业使用衍生工具或分出再保险合同管理与该金额变动相关金融风险时，对符合本准则规定条件的，可以选择将该金额变动中由货币时间价值及金融风险的影响导致的部分计入当期保险财务损益。但企业将分出再保险合同的保险合同金融变动额分解计入当期保险财务损益和其他综合收益的，该金额变动中的相应部分也应予以分解。</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2</w:t>
      </w:r>
      <w:r>
        <w:rPr>
          <w:rFonts w:ascii="微软雅黑" w:eastAsia="微软雅黑" w:hAnsi="微软雅黑" w:cs="微软雅黑" w:hint="eastAsia"/>
          <w:color w:val="666666"/>
          <w:sz w:val="21"/>
          <w:szCs w:val="21"/>
          <w:shd w:val="clear" w:color="auto" w:fill="FFFFFF"/>
        </w:rPr>
        <w:t>．基础项目公允价值中企业享有份额的减少额超过合同服务边际账面价值所导致的亏损部分。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3</w:t>
      </w:r>
      <w:r>
        <w:rPr>
          <w:rFonts w:ascii="微软雅黑" w:eastAsia="微软雅黑" w:hAnsi="微软雅黑" w:cs="微软雅黑" w:hint="eastAsia"/>
          <w:color w:val="666666"/>
          <w:sz w:val="21"/>
          <w:szCs w:val="21"/>
          <w:shd w:val="clear" w:color="auto" w:fill="FFFFFF"/>
        </w:rPr>
        <w:t>．基础项目公允价值中企业享有份额的增加额抵销的未到期责任负债的亏损部分。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（三）与未来服务相关且不随基础项目回报变动的履约现金流量的变动金额，但以下情形除外：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1</w:t>
      </w:r>
      <w:r>
        <w:rPr>
          <w:rFonts w:ascii="微软雅黑" w:eastAsia="微软雅黑" w:hAnsi="微软雅黑" w:cs="微软雅黑" w:hint="eastAsia"/>
          <w:color w:val="666666"/>
          <w:sz w:val="21"/>
          <w:szCs w:val="21"/>
          <w:shd w:val="clear" w:color="auto" w:fill="FFFFFF"/>
        </w:rPr>
        <w:t>．企业使用衍生工具、分出再保险合同或以公允价值计量且其变动计入当期损益的非衍生金融工具管理与该履约现金流量变动相关金融风险时，对符合本准则规定条件的，可以</w:t>
      </w:r>
      <w:r>
        <w:rPr>
          <w:rFonts w:ascii="微软雅黑" w:eastAsia="微软雅黑" w:hAnsi="微软雅黑" w:cs="微软雅黑" w:hint="eastAsia"/>
          <w:color w:val="666666"/>
          <w:sz w:val="21"/>
          <w:szCs w:val="21"/>
          <w:shd w:val="clear" w:color="auto" w:fill="FFFFFF"/>
        </w:rPr>
        <w:lastRenderedPageBreak/>
        <w:t>选择将该履约现金流量变动中由货币时间价值及金融风险的影响导致的部分计入当期保险财务损益。但企业将分出再保险合</w:t>
      </w:r>
      <w:r>
        <w:rPr>
          <w:rFonts w:ascii="微软雅黑" w:eastAsia="微软雅黑" w:hAnsi="微软雅黑" w:cs="微软雅黑" w:hint="eastAsia"/>
          <w:color w:val="666666"/>
          <w:sz w:val="21"/>
          <w:szCs w:val="21"/>
          <w:shd w:val="clear" w:color="auto" w:fill="FFFFFF"/>
        </w:rPr>
        <w:t>同的保险合同金融变动额分解计入当期保险财务损益和其他综合收益的，该履约现金流量变动中的相应部分也应予以分解。</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2</w:t>
      </w:r>
      <w:r>
        <w:rPr>
          <w:rFonts w:ascii="微软雅黑" w:eastAsia="微软雅黑" w:hAnsi="微软雅黑" w:cs="微软雅黑" w:hint="eastAsia"/>
          <w:color w:val="666666"/>
          <w:sz w:val="21"/>
          <w:szCs w:val="21"/>
          <w:shd w:val="clear" w:color="auto" w:fill="FFFFFF"/>
        </w:rPr>
        <w:t>．该履约现金流量的增加额超过合同服务边际账面价值所导致的亏损部分。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3</w:t>
      </w:r>
      <w:r>
        <w:rPr>
          <w:rFonts w:ascii="微软雅黑" w:eastAsia="微软雅黑" w:hAnsi="微软雅黑" w:cs="微软雅黑" w:hint="eastAsia"/>
          <w:color w:val="666666"/>
          <w:sz w:val="21"/>
          <w:szCs w:val="21"/>
          <w:shd w:val="clear" w:color="auto" w:fill="FFFFFF"/>
        </w:rPr>
        <w:t>．该履约现金流量的减少额抵销的未到期责任负债的亏损部分。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（四）合同服务边际在当期产生的汇兑差额。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合同服务边际在当期的摊销金额。企业应当按照提供保险合同服务的模式，合理确定合同组在责任期内各个期间的责任单元，并据此对根据本条（一）至（四）调整后的合同服务边际账面价值进行摊销，计入当期及以后期间保险服务收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企业可以对本</w:t>
      </w:r>
      <w:r>
        <w:rPr>
          <w:rFonts w:ascii="微软雅黑" w:eastAsia="微软雅黑" w:hAnsi="微软雅黑" w:cs="微软雅黑" w:hint="eastAsia"/>
          <w:color w:val="666666"/>
          <w:sz w:val="21"/>
          <w:szCs w:val="21"/>
          <w:shd w:val="clear" w:color="auto" w:fill="FFFFFF"/>
        </w:rPr>
        <w:t>条（二）和（三）中的变动金额进行合并调整。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采用风险管理措施对具有直接参与分红特征的保险合同产生的金融风险予以缓释时，同时符合下列条件的，对于本准则第四十二条（二）和（三）相关金额变动中由货币时间价值及金融风险的影响导致的部分，可以选择不调整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（一）企业制定了关于风险管理目标和策略的书面文件；</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（二）保险合同与用于风险管理的衍生工具、分出再保险合同或以公允价值计量且其变动计入当期损益的非衍生金融工具之间存在经济抵销关系；</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（三）经济抵销关系产生的价值变动中，信用风险的影响不占</w:t>
      </w:r>
      <w:r>
        <w:rPr>
          <w:rFonts w:ascii="微软雅黑" w:eastAsia="微软雅黑" w:hAnsi="微软雅黑" w:cs="微软雅黑" w:hint="eastAsia"/>
          <w:color w:val="666666"/>
          <w:sz w:val="21"/>
          <w:szCs w:val="21"/>
          <w:shd w:val="clear" w:color="auto" w:fill="FFFFFF"/>
        </w:rPr>
        <w:t>主导地位。</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不再符合上述条件时，应当自不符合之日起，将本准则第四十二条（二）和（三）相关金额变动中由货币时间价值及金融风险的影响导致的部分调整合同服务边际，之前已经计入保险财务损益的金额不予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对于企业不持有基础项目的具有直接参与分红特征的保险合同组，企业应当根据本准则第三十四条规定，对保险合同金额变动额进行会计处理。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对于企业持有基础项目的具有直接参与分红特征的保险合同组，企业根据本准则第三十四条规定，选择将保险合同金融变动额分解计入当期保险财务损益和其他综合收益的，计入当期保险财务</w:t>
      </w:r>
      <w:r>
        <w:rPr>
          <w:rFonts w:ascii="微软雅黑" w:eastAsia="微软雅黑" w:hAnsi="微软雅黑" w:cs="微软雅黑" w:hint="eastAsia"/>
          <w:color w:val="666666"/>
          <w:sz w:val="21"/>
          <w:szCs w:val="21"/>
          <w:shd w:val="clear" w:color="auto" w:fill="FFFFFF"/>
        </w:rPr>
        <w:t>损益的金额应当等于其持有的基础项目按照相关会计准则规定计入当期损益的金额。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本准则第四十二条对保险合同金融变动额的会计处理另有规定的，从其规定。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分入和分出的再保险合同不适用本节规定。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第三节</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亏损保险合同组计量的特殊规定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合同组在初始确认时发生首日亏损的，或合同组合中的合同归入其所属亏损合同组而新增亏损的，企业应当确认亏损并计入当期保险服务费用，同时将该亏损部分增加未到期责任负债账面价值。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初始确认时，亏损合同组的保险合同负债账面价值等于其履约现金流量。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发生下</w:t>
      </w:r>
      <w:r>
        <w:rPr>
          <w:rFonts w:ascii="微软雅黑" w:eastAsia="微软雅黑" w:hAnsi="微软雅黑" w:cs="微软雅黑" w:hint="eastAsia"/>
          <w:color w:val="666666"/>
          <w:sz w:val="21"/>
          <w:szCs w:val="21"/>
          <w:shd w:val="clear" w:color="auto" w:fill="FFFFFF"/>
        </w:rPr>
        <w:t>列情形之一导致合同组在后续计量时发生亏损的，企业应当确认亏损并计入当期保险服务费用，同时将该亏损部分增加未到期责任负债账面价值：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（一）因与未来服务相关的未来现金流量或非金融风险调整的估计发生变更，导致履约现金流量增加额超过合同服务边际账面价值。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（二）对于具有直接参与分红特征的保险合同组，其基础项目公允价值中企业享有份额的减少额超过合同服务边际账面价值。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企业在确认合同组的亏损后，应当将未到期责任负债账面价值的下列变动额，采用系统合理的方法分摊至未到期责任负债中的亏损部分和其他部分：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（一）因发生保险服务费用而减少的未来现金流量的现值；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（二）因相关风险释放而计入当期损益的非金融风险调整的变动金额；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（三）保险合同金融变动额。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分摊至亏损部分的金额不得计入当期保险服务收入。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企业在确认合同组的亏损后，应当按照下列规定进行后续计量：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将因与未来服务相关的未来现金流量或非金融风险调整的估计变更所导致的履约现金流量增加额，以及具有直接参与分红特征的保险合同组的基础项目公允价值中企业享有份额的减少额，确认为新增亏损并计入当期保险服务费用，同时将该亏损部分增加未到期责任负债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将因与未来服务相关的未来现金流量或非金融风险调整的估计变更所导致的履约现金流量减少额，以及具有直接参与分红特征的保险合同组的基础项目公允价值中企业享有份额的增加额，减少未到期责任负债的亏损部分，冲减当期保险服务费用；超出亏损部分的金额，确认为合同服务边</w:t>
      </w:r>
      <w:r>
        <w:rPr>
          <w:rFonts w:ascii="微软雅黑" w:eastAsia="微软雅黑" w:hAnsi="微软雅黑" w:cs="微软雅黑" w:hint="eastAsia"/>
          <w:color w:val="666666"/>
          <w:sz w:val="21"/>
          <w:szCs w:val="21"/>
          <w:shd w:val="clear" w:color="auto" w:fill="FFFFFF"/>
        </w:rPr>
        <w:t>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第四节</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保险合同组计量的简化处理规定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符合下列条件之一的，企业可以采用保费分配法简化合同组的计量：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（一）企业能够合理预计采用本节简化处理规定与根据本准则前述章节规定计量合同组未到期责任负债的结果无重大差异。企业预计履约现金流量在赔案发生前将发生重大变化的，表明该合同组不符合本条件。</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（二）该合同组内各项合同的责任期不超过一年。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企业对其签发的保险合同采用保费分配法时，应当假设初始确认时该合同所属合同组合内不存在亏损合同，该假设与相关事实和情况不符的除外。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w:t>
      </w:r>
      <w:r>
        <w:rPr>
          <w:rFonts w:ascii="微软雅黑" w:eastAsia="微软雅黑" w:hAnsi="微软雅黑" w:cs="微软雅黑" w:hint="eastAsia"/>
          <w:color w:val="666666"/>
          <w:sz w:val="21"/>
          <w:szCs w:val="21"/>
          <w:shd w:val="clear" w:color="auto" w:fill="FFFFFF"/>
        </w:rPr>
        <w:t>业采用保费分配法时，合同组内各项合同初始确认时的责任期均不超过一年的，可以选择在保险获取现金流量发生时将其确认为费用，计入当期损益。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企业采用保费分配法计量合同组时，初始确认时未到期责任负债账面价值等于已收保费减去初始确认时发生的保险获取现金流量（根据本准则第五十二条规定选择在</w:t>
      </w:r>
      <w:r>
        <w:rPr>
          <w:rFonts w:ascii="微软雅黑" w:eastAsia="微软雅黑" w:hAnsi="微软雅黑" w:cs="微软雅黑" w:hint="eastAsia"/>
          <w:color w:val="666666"/>
          <w:sz w:val="21"/>
          <w:szCs w:val="21"/>
          <w:shd w:val="clear" w:color="auto" w:fill="FFFFFF"/>
        </w:rPr>
        <w:lastRenderedPageBreak/>
        <w:t>发生时计入当期损益的除外），减去（或加上）在合同组初始确认时终止确认的保险获取现金流量资产以及其他相关资产或负债的金额。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资产负债表日未到期责任负债账面价值等于期初账面价值加上当期已收保费，减去当期发生的保险获取现金流量</w:t>
      </w:r>
      <w:r>
        <w:rPr>
          <w:rFonts w:ascii="微软雅黑" w:eastAsia="微软雅黑" w:hAnsi="微软雅黑" w:cs="微软雅黑" w:hint="eastAsia"/>
          <w:color w:val="666666"/>
          <w:sz w:val="21"/>
          <w:szCs w:val="21"/>
          <w:shd w:val="clear" w:color="auto" w:fill="FFFFFF"/>
        </w:rPr>
        <w:t>（根据本准则第五十二条规定选择在发生时计入当期损益的除外），加上当期确认为保险服务费用的保险获取现金流量摊销金额和针对融资成分的调整金额，减去因当期提供保险合同服务而确认为保险服务收入的金额和当期已付或转入已发生赔款负债中的投资成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合同组内的合同中存在重大融资成分的，企业应当按照合同组初始确认时确定的折现率，对未到期责任负债账面价值进行调整，以反映货币时间价值及金融风险的影响。合同组初始确认时，如果企业预计提供保险合同服务每一部分服务的时点与相关保费到期日之间的间隔不超过一年，可以不考虑合</w:t>
      </w:r>
      <w:r>
        <w:rPr>
          <w:rFonts w:ascii="微软雅黑" w:eastAsia="微软雅黑" w:hAnsi="微软雅黑" w:cs="微软雅黑" w:hint="eastAsia"/>
          <w:color w:val="666666"/>
          <w:sz w:val="21"/>
          <w:szCs w:val="21"/>
          <w:shd w:val="clear" w:color="auto" w:fill="FFFFFF"/>
        </w:rPr>
        <w:t>同中存在的重大融资成分。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相关事实和情况表明合同组在责任期内存在亏损时，企业应当将该日与未到期责任相关的履约现金流量超过按照本准则第五十三条确定的未到期责任负债账面价值的金额，计入当期保险服务费用，同时增加未到期责任负债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根据与已发生赔案及其他相关费用有关的履约现金流量计量已发生赔款负债。相关履约现金流量预计在赔案发生后一年内支付或收取的，企业可以不考虑货币时间价值及金融风险的影响，且一致应用于本准则第五十五条规定的相关履约现金流量的计算。</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w:t>
      </w:r>
      <w:r>
        <w:rPr>
          <w:rFonts w:ascii="微软雅黑" w:eastAsia="微软雅黑" w:hAnsi="微软雅黑" w:cs="微软雅黑" w:hint="eastAsia"/>
          <w:color w:val="666666"/>
          <w:sz w:val="21"/>
          <w:szCs w:val="21"/>
          <w:shd w:val="clear" w:color="auto" w:fill="FFFFFF"/>
        </w:rPr>
        <w:t>当将已收和预计收取的保费，在扣除投资成分并根据本准则第五十四条规定对重大融资成分进行调整后，分摊至当期的金额确认为保险服务收入。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企业应当随时间流逝在责任期内分摊经调整的已收和预计收取的保费；保险合同的风险在责任期内不随时间流逝为主释放的，应当以保险服务费用预计发生时间为基础进行分摊。</w:t>
      </w:r>
    </w:p>
    <w:p w:rsidR="007D2D43" w:rsidRPr="00CF03D0" w:rsidRDefault="00C73C6C" w:rsidP="00CF03D0">
      <w:pPr>
        <w:pStyle w:val="a5"/>
        <w:widowControl/>
        <w:spacing w:beforeAutospacing="0" w:afterAutospacing="0" w:line="450" w:lineRule="atLeast"/>
        <w:ind w:firstLine="420"/>
        <w:jc w:val="center"/>
        <w:rPr>
          <w:b/>
        </w:rPr>
      </w:pPr>
      <w:r w:rsidRPr="00CF03D0">
        <w:rPr>
          <w:rFonts w:ascii="微软雅黑" w:eastAsia="微软雅黑" w:hAnsi="微软雅黑" w:cs="微软雅黑" w:hint="eastAsia"/>
          <w:b/>
          <w:color w:val="666666"/>
          <w:sz w:val="21"/>
          <w:szCs w:val="21"/>
          <w:shd w:val="clear" w:color="auto" w:fill="FFFFFF"/>
        </w:rPr>
        <w:lastRenderedPageBreak/>
        <w:t>第六章</w:t>
      </w:r>
      <w:r w:rsidRPr="00CF03D0">
        <w:rPr>
          <w:rFonts w:ascii="微软雅黑" w:eastAsia="微软雅黑" w:hAnsi="微软雅黑" w:cs="微软雅黑" w:hint="eastAsia"/>
          <w:b/>
          <w:color w:val="666666"/>
          <w:sz w:val="21"/>
          <w:szCs w:val="21"/>
          <w:shd w:val="clear" w:color="auto" w:fill="FFFFFF"/>
        </w:rPr>
        <w:t xml:space="preserve">  </w:t>
      </w:r>
      <w:r w:rsidRPr="00CF03D0">
        <w:rPr>
          <w:rFonts w:ascii="微软雅黑" w:eastAsia="微软雅黑" w:hAnsi="微软雅黑" w:cs="微软雅黑" w:hint="eastAsia"/>
          <w:b/>
          <w:color w:val="666666"/>
          <w:sz w:val="21"/>
          <w:szCs w:val="21"/>
          <w:shd w:val="clear" w:color="auto" w:fill="FFFFFF"/>
        </w:rPr>
        <w:t>分出的再保险合同组的确认和计量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企业对分出的再保险合同组进行确认和计量，除本章另有规定外，应当按照本准则有关保险合同的其他相关规定进行处理，但本准则第五章关于亏损合同组计量的相关规定不适用于分出的再保</w:t>
      </w:r>
      <w:r>
        <w:rPr>
          <w:rFonts w:ascii="微软雅黑" w:eastAsia="微软雅黑" w:hAnsi="微软雅黑" w:cs="微软雅黑" w:hint="eastAsia"/>
          <w:color w:val="666666"/>
          <w:sz w:val="21"/>
          <w:szCs w:val="21"/>
          <w:shd w:val="clear" w:color="auto" w:fill="FFFFFF"/>
        </w:rPr>
        <w:t>险合同组。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企业应当将同一分出的再保险合同组合至少分为下列合同组：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（一）初始确认时存在净利得的合同组；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（二）初始确认时无显著可能性在未来产生净利得的合同组；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（三）该组合中剩余合同组成的合同组。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企业可以按照净成本或净利得水平以及初始确认后在未来产生净利得的可能性等，对分出的再保险合同组作进一步细分。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企业不得将分出时间间隔超过一年的合同归入同一分出的再保险合同组。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企业应当在下列时点中的最早时点确认其分出的再保险合同组：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（一）分出的再保险合同组责任期开始日；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（二）分出的再</w:t>
      </w:r>
      <w:r>
        <w:rPr>
          <w:rFonts w:ascii="微软雅黑" w:eastAsia="微软雅黑" w:hAnsi="微软雅黑" w:cs="微软雅黑" w:hint="eastAsia"/>
          <w:color w:val="666666"/>
          <w:sz w:val="21"/>
          <w:szCs w:val="21"/>
          <w:shd w:val="clear" w:color="auto" w:fill="FFFFFF"/>
        </w:rPr>
        <w:t>保险合同组所对应的保险合同组确认为亏损合同组时。</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分出的再保险合同组分出成比例责任的，企业应当在下列时点中的最早时点确认该合同组：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（一）分出的再保险合同组责任期开始日和任一对应的保险合同初始确认时点中较晚的时点；</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（二）分出的再保险合同组所对应的保险合同组确认为亏损合同组时。</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企业在初始确认其分出的再保险合同组时，应当按照履约现金流量与合同服务边际之和对分出再保险合同资产进行初始计量。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分出再保险合同组的合同服务边际，是指企业为在未来获得再保险分入人提供的保险合同服务而产生的净成本或净利得。</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企业在估计分出的再保险合同组的未来现金流量现值时，采用的相关假设应当与计量所对应的保险合同组保持一致，并考虑再保险分入人的不履约风险。</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企业应当根据分出的再保险合同组转移给再保险分入人的风险，估计非金融风险调整。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企业应当在分出的再保险合同组初始确认时计算下列各项之和：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（一）履约现金流量；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（二）在该日终止确认的相关资产或负债对应的现金流量；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（三）分出再保险合同组内合同在该日产生的现金流量；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（四）分保摊回未到期责任资产亏损摊回部分的金额。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企业应当将上述各项之和所反映的净成本或净利得，确认为合同服务边际。净成本与分出前发生的事项相关的，企业应当将其确认为费用并计入当期损益。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企业应当在资产负债表日按照分保摊回未到期责任资产与分保摊回已发生赔款资产之和对分出再保险合同资产进行后续计量。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分保摊回未到期责任资产包括资产负债表日分摊至分出的再保险合同组的、与未到期责任有关的履约现金流量和当日该合同组的合同服务边际。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分保摊回已发生赔款</w:t>
      </w:r>
      <w:r>
        <w:rPr>
          <w:rFonts w:ascii="微软雅黑" w:eastAsia="微软雅黑" w:hAnsi="微软雅黑" w:cs="微软雅黑" w:hint="eastAsia"/>
          <w:color w:val="666666"/>
          <w:sz w:val="21"/>
          <w:szCs w:val="21"/>
          <w:shd w:val="clear" w:color="auto" w:fill="FFFFFF"/>
        </w:rPr>
        <w:t>资产包括资产负债表日分摊至分出的再保险合同组的、与已发生赔款及其他相关费用的摊回有关的履约现金流量。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订立时点不晚于对应的保险合同确认时点的分出的再保险合同，企业在初始确认对应的亏损合同组或者将对应的亏损保险合同归入合同组而确认亏损时，应当根据下列两项的乘积确定分出再保险合同组分保摊回未到期责任资产亏损摊回部分的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（一）对应的保险合同确认的亏损；</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（二）预计从分出再保险合同组摊回的对应的保险合同赔付的比例。</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企业应当按照上述亏损摊回部分的金额调整分出再保险合同组的合同服务边际，同时确</w:t>
      </w:r>
      <w:r>
        <w:rPr>
          <w:rFonts w:ascii="微软雅黑" w:eastAsia="微软雅黑" w:hAnsi="微软雅黑" w:cs="微软雅黑" w:hint="eastAsia"/>
          <w:color w:val="666666"/>
          <w:sz w:val="21"/>
          <w:szCs w:val="21"/>
          <w:shd w:val="clear" w:color="auto" w:fill="FFFFFF"/>
        </w:rPr>
        <w:t>认为摊回保险服务费用，计入当期损益。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在对分出的再保险合同组进行后续计量时，应当调整亏损摊回部分的金额以反映对应的保险合同亏损部分的变化，调整后的亏损摊回部分的金额不应超过企业预计从分出再保险合同组摊回的对应的保险合同亏损部分的相应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资产负债表日分出的再保险合同组的合同服务边际账面价值应当以期初账面价值为基础，经下列各项调整后予以确定：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（一）当期归入该合同组的合同对合同服务边际的影响金额；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（二）合同服务边际在当期计提的利息，计息利率为该合同组内合同确认时、不随基础项目回报变动的现</w:t>
      </w:r>
      <w:r>
        <w:rPr>
          <w:rFonts w:ascii="微软雅黑" w:eastAsia="微软雅黑" w:hAnsi="微软雅黑" w:cs="微软雅黑" w:hint="eastAsia"/>
          <w:color w:val="666666"/>
          <w:sz w:val="21"/>
          <w:szCs w:val="21"/>
          <w:shd w:val="clear" w:color="auto" w:fill="FFFFFF"/>
        </w:rPr>
        <w:t>金流量所适用的加权平均利率；</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（三）根据本准则第六十七条第一款计算的分保摊回未到期责任资产亏损摊回部分的金额，以及与分出再保险合同组的履约现金流量变动无关的分保摊回未到期责任资产亏损摊回部分的转回；</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与未来服务相关的履约现金流量的变动金额，但分摊至对应的保险合同组且不调整其合同服务边际的履约现金流量变动而导致的变动，以及对应的保险合同组采用保费分配法计量时因确认或转回亏损而导致的变动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（五）合同服务边际在当期产生的汇兑差额；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（六）合同服务边际在当期的摊销金额。企业应当按照取得保险合同服务的模式</w:t>
      </w:r>
      <w:r>
        <w:rPr>
          <w:rFonts w:ascii="微软雅黑" w:eastAsia="微软雅黑" w:hAnsi="微软雅黑" w:cs="微软雅黑" w:hint="eastAsia"/>
          <w:color w:val="666666"/>
          <w:sz w:val="21"/>
          <w:szCs w:val="21"/>
          <w:shd w:val="clear" w:color="auto" w:fill="FFFFFF"/>
        </w:rPr>
        <w:t>，合理确定分出再保险合同组在责任期内各个期间的责任单元，并据此对根据本条（一）至（五）调整后的合同服务边际账面价值进行摊销，计入当期及以后期间损益。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第六十九条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再保险分入人不履约风险导致的履约现金流量变动金额与未来服务无关，企业不应当因此调整分出再保险合同组的合同服务边际。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因当期取得再保险分入人提供的保险合同服务而导致分保摊回未到期责任资产账面价值的减少额，应当确认为分出保费的分摊；因当期发生赔款及其他相关费用的摊回导致分保摊回已发生赔款资产账面价值的增加额，以及与之相关的履约现金流量的后续变动额，应当确认为摊回保险服务费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企业应当将预计从再保险分入人收到的不取决于对应的保险合同赔付的金额，作为分出保费的分摊的减项。企业在确认分出保费的分摊和摊回保险服务费用时，不得包含分出再保险合同中的投资成分。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符合下列条件之一的，企业可以采用保费分配法简化分出的再保</w:t>
      </w:r>
      <w:r>
        <w:rPr>
          <w:rFonts w:ascii="微软雅黑" w:eastAsia="微软雅黑" w:hAnsi="微软雅黑" w:cs="微软雅黑" w:hint="eastAsia"/>
          <w:color w:val="666666"/>
          <w:sz w:val="21"/>
          <w:szCs w:val="21"/>
          <w:shd w:val="clear" w:color="auto" w:fill="FFFFFF"/>
        </w:rPr>
        <w:t>险合同组的计量：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（一）企业能够合理预计采用保费分配法与不采用保费分配法计量分出再保险合同组的结果无重大差异。企业预计履约现金流量在赔案发生前将发生重大变化的，表明该合同组不符合本条件。</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（二）该分出的再保险合同组内各项合同的责任期不超过一年。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采用保费分配法计量分出的再保险合同组时，根据本准则第六十七条第一款计算的亏损摊回部分的金额应当调整分出再保险合同组的分保摊回未到期责任资产账面价值，同时确认为摊回保险服务费用，计入当期损益。</w:t>
      </w:r>
    </w:p>
    <w:p w:rsidR="007D2D43" w:rsidRPr="00CF03D0" w:rsidRDefault="00C73C6C" w:rsidP="00CF03D0">
      <w:pPr>
        <w:pStyle w:val="a5"/>
        <w:widowControl/>
        <w:spacing w:beforeAutospacing="0" w:afterAutospacing="0" w:line="450" w:lineRule="atLeast"/>
        <w:ind w:firstLine="420"/>
        <w:jc w:val="center"/>
        <w:rPr>
          <w:b/>
        </w:rPr>
      </w:pPr>
      <w:r w:rsidRPr="00CF03D0">
        <w:rPr>
          <w:rFonts w:ascii="微软雅黑" w:eastAsia="微软雅黑" w:hAnsi="微软雅黑" w:cs="微软雅黑" w:hint="eastAsia"/>
          <w:b/>
          <w:color w:val="666666"/>
          <w:sz w:val="21"/>
          <w:szCs w:val="21"/>
          <w:shd w:val="clear" w:color="auto" w:fill="FFFFFF"/>
        </w:rPr>
        <w:t>第七章</w:t>
      </w:r>
      <w:r w:rsidRPr="00CF03D0">
        <w:rPr>
          <w:rFonts w:ascii="微软雅黑" w:eastAsia="微软雅黑" w:hAnsi="微软雅黑" w:cs="微软雅黑" w:hint="eastAsia"/>
          <w:b/>
          <w:color w:val="666666"/>
          <w:sz w:val="21"/>
          <w:szCs w:val="21"/>
          <w:shd w:val="clear" w:color="auto" w:fill="FFFFFF"/>
        </w:rPr>
        <w:t xml:space="preserve">  </w:t>
      </w:r>
      <w:r w:rsidRPr="00CF03D0">
        <w:rPr>
          <w:rFonts w:ascii="微软雅黑" w:eastAsia="微软雅黑" w:hAnsi="微软雅黑" w:cs="微软雅黑" w:hint="eastAsia"/>
          <w:b/>
          <w:color w:val="666666"/>
          <w:sz w:val="21"/>
          <w:szCs w:val="21"/>
          <w:shd w:val="clear" w:color="auto" w:fill="FFFFFF"/>
        </w:rPr>
        <w:t>合同转让或非同一控制下企业合并中取得的保险合同</w:t>
      </w:r>
      <w:r w:rsidRPr="00CF03D0">
        <w:rPr>
          <w:rFonts w:ascii="微软雅黑" w:eastAsia="微软雅黑" w:hAnsi="微软雅黑" w:cs="微软雅黑" w:hint="eastAsia"/>
          <w:b/>
          <w:color w:val="666666"/>
          <w:sz w:val="21"/>
          <w:szCs w:val="21"/>
          <w:shd w:val="clear" w:color="auto" w:fill="FFFFFF"/>
        </w:rPr>
        <w:t>的确认和计量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企业对合同转让或非同一控制下企业合并中取得的保险合同进行确认和计量，除本章另有规定外，应当适用本准则其他相关规定。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第七十四条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企业在合同转让或非同一控制下企业合并中取得的保险合同，应当视为在转让日（或购买日）订立该合同，并根据本准则相关规定将该合同归入其所属合同组。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企业在合同转让或非同一控制下企业合并中为取得保险合同而收到或支付的对价，应当视为收取或支付的保费。</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企业在合同转让或非同一控制下企业合并中取得保险合同的会计处理适用《企业会计准则第</w:t>
      </w:r>
      <w:r>
        <w:rPr>
          <w:rFonts w:ascii="微软雅黑" w:eastAsia="微软雅黑" w:hAnsi="微软雅黑" w:cs="微软雅黑" w:hint="eastAsia"/>
          <w:color w:val="666666"/>
          <w:sz w:val="21"/>
          <w:szCs w:val="21"/>
          <w:shd w:val="clear" w:color="auto" w:fill="FFFFFF"/>
        </w:rPr>
        <w:t>20</w:t>
      </w:r>
      <w:r>
        <w:rPr>
          <w:rFonts w:ascii="微软雅黑" w:eastAsia="微软雅黑" w:hAnsi="微软雅黑" w:cs="微软雅黑" w:hint="eastAsia"/>
          <w:color w:val="666666"/>
          <w:sz w:val="21"/>
          <w:szCs w:val="21"/>
          <w:shd w:val="clear" w:color="auto" w:fill="FFFFFF"/>
        </w:rPr>
        <w:t>号——企业合并》等其他会计准则的，应当根据相关会计准则进行处理。</w:t>
      </w:r>
    </w:p>
    <w:p w:rsidR="007D2D43" w:rsidRPr="00CF03D0" w:rsidRDefault="00C73C6C" w:rsidP="00CF03D0">
      <w:pPr>
        <w:pStyle w:val="a5"/>
        <w:widowControl/>
        <w:spacing w:beforeAutospacing="0" w:afterAutospacing="0" w:line="450" w:lineRule="atLeast"/>
        <w:ind w:firstLine="420"/>
        <w:jc w:val="center"/>
        <w:rPr>
          <w:b/>
        </w:rPr>
      </w:pPr>
      <w:r w:rsidRPr="00CF03D0">
        <w:rPr>
          <w:rFonts w:ascii="微软雅黑" w:eastAsia="微软雅黑" w:hAnsi="微软雅黑" w:cs="微软雅黑" w:hint="eastAsia"/>
          <w:b/>
          <w:color w:val="666666"/>
          <w:sz w:val="21"/>
          <w:szCs w:val="21"/>
          <w:shd w:val="clear" w:color="auto" w:fill="FFFFFF"/>
        </w:rPr>
        <w:t>第八章</w:t>
      </w:r>
      <w:r w:rsidRPr="00CF03D0">
        <w:rPr>
          <w:rFonts w:ascii="微软雅黑" w:eastAsia="微软雅黑" w:hAnsi="微软雅黑" w:cs="微软雅黑" w:hint="eastAsia"/>
          <w:b/>
          <w:color w:val="666666"/>
          <w:sz w:val="21"/>
          <w:szCs w:val="21"/>
          <w:shd w:val="clear" w:color="auto" w:fill="FFFFFF"/>
        </w:rPr>
        <w:t xml:space="preserve">  </w:t>
      </w:r>
      <w:r w:rsidRPr="00CF03D0">
        <w:rPr>
          <w:rFonts w:ascii="微软雅黑" w:eastAsia="微软雅黑" w:hAnsi="微软雅黑" w:cs="微软雅黑" w:hint="eastAsia"/>
          <w:b/>
          <w:color w:val="666666"/>
          <w:sz w:val="21"/>
          <w:szCs w:val="21"/>
          <w:shd w:val="clear" w:color="auto" w:fill="FFFFFF"/>
        </w:rPr>
        <w:t>保险合同的修改和终止确认</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保险合同条款的修改符合下列条件之一的，企业应当终止确认原合同，并按照修改后的合同条款确认一项新合同：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（一）假设修改后的合同条款自合同开始日适用，出现下列情形之一的：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1</w:t>
      </w:r>
      <w:r>
        <w:rPr>
          <w:rFonts w:ascii="微软雅黑" w:eastAsia="微软雅黑" w:hAnsi="微软雅黑" w:cs="微软雅黑" w:hint="eastAsia"/>
          <w:color w:val="666666"/>
          <w:sz w:val="21"/>
          <w:szCs w:val="21"/>
          <w:shd w:val="clear" w:color="auto" w:fill="FFFFFF"/>
        </w:rPr>
        <w:t>．修改后的合同不属于本准则的适用范围。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2</w:t>
      </w:r>
      <w:r>
        <w:rPr>
          <w:rFonts w:ascii="微软雅黑" w:eastAsia="微软雅黑" w:hAnsi="微软雅黑" w:cs="微软雅黑" w:hint="eastAsia"/>
          <w:color w:val="666666"/>
          <w:sz w:val="21"/>
          <w:szCs w:val="21"/>
          <w:shd w:val="clear" w:color="auto" w:fill="FFFFFF"/>
        </w:rPr>
        <w:t>．修改后的合同应当予以分拆且分拆后适用本准则的组成部分发生变化。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3</w:t>
      </w:r>
      <w:r>
        <w:rPr>
          <w:rFonts w:ascii="微软雅黑" w:eastAsia="微软雅黑" w:hAnsi="微软雅黑" w:cs="微软雅黑" w:hint="eastAsia"/>
          <w:color w:val="666666"/>
          <w:sz w:val="21"/>
          <w:szCs w:val="21"/>
          <w:shd w:val="clear" w:color="auto" w:fill="FFFFFF"/>
        </w:rPr>
        <w:t>．修改后的合同的合同边界发生实质性变化。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4</w:t>
      </w:r>
      <w:r>
        <w:rPr>
          <w:rFonts w:ascii="微软雅黑" w:eastAsia="微软雅黑" w:hAnsi="微软雅黑" w:cs="微软雅黑" w:hint="eastAsia"/>
          <w:color w:val="666666"/>
          <w:sz w:val="21"/>
          <w:szCs w:val="21"/>
          <w:shd w:val="clear" w:color="auto" w:fill="FFFFFF"/>
        </w:rPr>
        <w:t>．修改后的合同归属于不同的合同组。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（二）原合同与修改后的合同仅有其一符</w:t>
      </w:r>
      <w:r>
        <w:rPr>
          <w:rFonts w:ascii="微软雅黑" w:eastAsia="微软雅黑" w:hAnsi="微软雅黑" w:cs="微软雅黑" w:hint="eastAsia"/>
          <w:color w:val="666666"/>
          <w:sz w:val="21"/>
          <w:szCs w:val="21"/>
          <w:shd w:val="clear" w:color="auto" w:fill="FFFFFF"/>
        </w:rPr>
        <w:t>合具有直接参与分红特征的保险合同的定义。</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（三）原合同采用保费分配法，修改后的合同不符合采用保费分配法的条件。</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保险合同条款的修改不符合上述条件的，企业应当将合同条款修改导致的现金流量变动作为履约现金流量的估计变更进行处理。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保险合同约定的义务因履行、取消或到期而解除的，企业应当终止确认保险合同。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第七十九条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企业终止确认一项保险合同，应当按照下列规定进行处理：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（一）调整该保险合同所属合同组的履约现金流量，扣除与终止确认的权利义务相关的未来现金流量现值和非金融风险调整。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（二）调整合同组的合同服务边际。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（三）调整合同组在当期及以后期间的责任单元。</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企业修改原合同并确认新合同时，应当按照下列两项的差额调整原合同所属合同组的合同服务边际：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（一）因终止确认原合同所导致的合同组履约现金流量变动金额；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（二）修改日订立与新合同条款相同的合同预计将收取的保费减去因修改原合同而收取的额外保费后的保费净额。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企业在计量新合同所属合同组时，应当假设于修改日收到本条（二）中的保费净额。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企业因合同转让而终止确认一项保险合同的，应当按照因终止确认该合同所导致的合同组履约现金流量变动金额与受让方收取的保费之间的差额，调整该合同所属合同组的合同服务边际。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因合同修改或转让而终止确认一项保险合同时，应当将与该合同相关的、由于会计政策选择而在以前期间确认为其他综合收益的余额转入当期损益；但对于企业持有基础项目的具有直接参与分红特征的保险合同，企业不得仅因终止确认该保险合同而进行上述会计处理。</w:t>
      </w:r>
    </w:p>
    <w:p w:rsidR="007D2D43" w:rsidRPr="00CF03D0" w:rsidRDefault="00C73C6C" w:rsidP="00CF03D0">
      <w:pPr>
        <w:pStyle w:val="a5"/>
        <w:widowControl/>
        <w:spacing w:beforeAutospacing="0" w:afterAutospacing="0" w:line="450" w:lineRule="atLeast"/>
        <w:ind w:firstLine="420"/>
        <w:jc w:val="center"/>
        <w:rPr>
          <w:b/>
        </w:rPr>
      </w:pPr>
      <w:r w:rsidRPr="00CF03D0">
        <w:rPr>
          <w:rFonts w:ascii="微软雅黑" w:eastAsia="微软雅黑" w:hAnsi="微软雅黑" w:cs="微软雅黑" w:hint="eastAsia"/>
          <w:b/>
          <w:color w:val="666666"/>
          <w:sz w:val="21"/>
          <w:szCs w:val="21"/>
          <w:shd w:val="clear" w:color="auto" w:fill="FFFFFF"/>
        </w:rPr>
        <w:t>第九章</w:t>
      </w:r>
      <w:r w:rsidRPr="00CF03D0">
        <w:rPr>
          <w:rFonts w:ascii="微软雅黑" w:eastAsia="微软雅黑" w:hAnsi="微软雅黑" w:cs="微软雅黑" w:hint="eastAsia"/>
          <w:b/>
          <w:color w:val="666666"/>
          <w:sz w:val="21"/>
          <w:szCs w:val="21"/>
          <w:shd w:val="clear" w:color="auto" w:fill="FFFFFF"/>
        </w:rPr>
        <w:t xml:space="preserve">  </w:t>
      </w:r>
      <w:r w:rsidRPr="00CF03D0">
        <w:rPr>
          <w:rFonts w:ascii="微软雅黑" w:eastAsia="微软雅黑" w:hAnsi="微软雅黑" w:cs="微软雅黑" w:hint="eastAsia"/>
          <w:b/>
          <w:color w:val="666666"/>
          <w:sz w:val="21"/>
          <w:szCs w:val="21"/>
          <w:shd w:val="clear" w:color="auto" w:fill="FFFFFF"/>
        </w:rPr>
        <w:t>列报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第一节</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资产负债表和利润表相关项目的列示及披露</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企业应当根</w:t>
      </w:r>
      <w:r>
        <w:rPr>
          <w:rFonts w:ascii="微软雅黑" w:eastAsia="微软雅黑" w:hAnsi="微软雅黑" w:cs="微软雅黑" w:hint="eastAsia"/>
          <w:color w:val="666666"/>
          <w:sz w:val="21"/>
          <w:szCs w:val="21"/>
          <w:shd w:val="clear" w:color="auto" w:fill="FFFFFF"/>
        </w:rPr>
        <w:t>据自身实际情况，合理确定列报保险合同的详细程度，避免列报大量不重要信息或不恰当汇总实质性不同信息。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企业可以按照合同类型、地理区域或报告分部等对保险合同的信息披露进行恰当汇总。</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第八十四条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企业应当在资产负债表中分别列示与保险合同有关的下列项目：</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（一）保险合同资产；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（二）保险合同负债；</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（三）分出再保险合同资产；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（四）分出再保险合同负债。</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企业签发的保险合同组合账面价值为借方余额的，列示为保险合同资产；分出的再保险合同组合账面价值为贷方余额的，列示为分出再保险合同负债。</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保险获取现金流量资产于资产负</w:t>
      </w:r>
      <w:r>
        <w:rPr>
          <w:rFonts w:ascii="微软雅黑" w:eastAsia="微软雅黑" w:hAnsi="微软雅黑" w:cs="微软雅黑" w:hint="eastAsia"/>
          <w:color w:val="666666"/>
          <w:sz w:val="21"/>
          <w:szCs w:val="21"/>
          <w:shd w:val="clear" w:color="auto" w:fill="FFFFFF"/>
        </w:rPr>
        <w:t>债表日的账面价值应当计入保险合同组合账面价值。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企业应当在利润表中分别列示与保险合同有关的下列项目：</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（一）保险服务收入；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（二）保险服务费用；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（三）分出保费的分摊；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（四）摊回保险服务费用；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（五）承保财务损益；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（六）分出再保险财务损益。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附注中分别就签发的保险合同和分出的再保险合同，单独披露未到期责任负债（或分保摊回未到期责任资产）和已发生赔款负债（或分保摊回已发生赔款资产）余额调节表，以反映与保险合同账面价值变动有关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（一）保险合同负债和保险合同资</w:t>
      </w:r>
      <w:r>
        <w:rPr>
          <w:rFonts w:ascii="微软雅黑" w:eastAsia="微软雅黑" w:hAnsi="微软雅黑" w:cs="微软雅黑" w:hint="eastAsia"/>
          <w:color w:val="666666"/>
          <w:sz w:val="21"/>
          <w:szCs w:val="21"/>
          <w:shd w:val="clear" w:color="auto" w:fill="FFFFFF"/>
        </w:rPr>
        <w:t>产（或分出再保险合同资产和分出再保险合同负债）的期初和期末余额及净额，及净额调节情况；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（二）未到期责任负债（或分保摊回未到期责任资产）当期变动情况，亏损部分（或亏损摊回部分）应单独披露；</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（三）已发生赔款负债（或分保摊回已发生赔款资产）当期变动情况，采用保费分配法的保险合同应分别披露未来现金流量现值和非金融风险调整；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（四）当期保险服务收入；</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（五）当期保险服务费用，包括当期发生赔款及其他相关费用、保险获取现金流量的摊销、亏损部分的确认及转回和已发生赔款负债相关履约现金流量变动；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（六）当期分出保费的分摊；</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（七）当期摊回保险服务费用，包括摊回当期发生赔款及其他相关费用、亏损摊回部分的确认及转回和分保摊回已发生赔款资产相关履约现金流量变动；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（八）不计入当期损益的投资成分，保费返还可以在此项合并披露；</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九）与当期服务无关但影响保险合同账面价值的金额，包括当期现金流量、再保险分入人不履约风险变动额、保险合同金融变动额、其他与保险合同账面价值变动有关的金额。当期现金流量应分别披露收到保费（或支付分出保费）、支付保险获取现金流量、支付赔款及其他相关费用（或收到摊回赔款及其他相关费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对于未采用保费分配法的保险合同，企业应当在附注中分别就签发的保险合同和分出的再保险合同，单独披露履约现金流量和合同服务边际余额调节表，以反映与保险合同账面价值变动有关的下列信息：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（一）保险合同负债和保险合同资产（或分出再保险合同资产和分出再保险合同负债）的期初和期末余额及净额，及净额调节情况；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（二）未来现金流量现值当期变动情况；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（三）非金融风险调整当期变动情况；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（四）合同服务边际当期变动情况；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（五）与当期服务相关的变动情况，包括合同服务边际的摊销、非金融风险调整的变动、当期经验调整；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（六）与未来服务相关的变动情况，包括当期初始确认的保险合同影响金额、调整合同服务边际的估计变更、不调整合同服务边际的估计变更；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（七）与过去服务相关的变动情况，包括已发生赔款负债（或分保摊回已发生赔款资产）相关履约现金流量变动；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八）与当期服务无关但影响保险合同账面价值的金额，包括当期现金流量、再保险分入人不履约风险变动额、保险合同金融变动额、其他与保险合同账面价值变动有关的金额。当期现金流量应分别披露收到保费（或支付分出保费）、支付保险获取现金流量、支付赔款及其他相关费用（或收到摊回赔款及其他相关费用</w:t>
      </w:r>
      <w:r>
        <w:rPr>
          <w:rFonts w:ascii="微软雅黑" w:eastAsia="微软雅黑" w:hAnsi="微软雅黑" w:cs="微软雅黑" w:hint="eastAsia"/>
          <w:color w:val="666666"/>
          <w:sz w:val="21"/>
          <w:szCs w:val="21"/>
          <w:shd w:val="clear" w:color="auto" w:fill="FFFFFF"/>
        </w:rPr>
        <w:t>）。</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企业应当在附注中披露关于保险获取现金流量资产的下列定量信息：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（一）保险获取现金流量资产的期初和期末余额及其调节情况；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（二）保险获取现金流量资产减值准备当期计提和当期转回情况；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（三）期末保险获取现金流量资产预计在未来按适当的时间段终止确认的相关信息。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对于未采用保费分配法的保险合同，企业应当在附注中分别就签发的保险合同和分出的再保险合同，披露当期初始确认的保险合同对资产负债表影响的下列信息：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（一）未来现金流出现值，保险获取现金流量的金额应单独披露；</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（二）未来现金流入</w:t>
      </w:r>
      <w:r>
        <w:rPr>
          <w:rFonts w:ascii="微软雅黑" w:eastAsia="微软雅黑" w:hAnsi="微软雅黑" w:cs="微软雅黑" w:hint="eastAsia"/>
          <w:color w:val="666666"/>
          <w:sz w:val="21"/>
          <w:szCs w:val="21"/>
          <w:shd w:val="clear" w:color="auto" w:fill="FFFFFF"/>
        </w:rPr>
        <w:t>现值；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（三）非金融风险调整；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对于当期初始确认的亏损合同组以及在合同转让或非同一控制下企业合并中取得的保险合同，企业应当分别披露其对资产负债表影响的上述信息。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第九十条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对于未采用保费分配法的签发的保险合同，企业应当在附注中披露与本期确认保险服务收入相关的下列定量信息：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（一）与未到期责任负债变动相关的保险服务收入，分别披露期初预计当期发生的保险服务费用、非金融风险调整的变动、合同服务边际的摊销、其他金额（如与当期服务或过去服务相关的保费经验调整）；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（二）保险获取现金流量的摊销。</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对于未采用保费分配法的保险合同，企业应当在附注中分别就签发的保险合同和分出的再保险合同，披露期末合同服务边际在剩余期限内按适当的时间段摊销计入利润表的定量信息。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企业应当披露当期保险合同金融变动额的定量信息及其解释性说明，包括对保险合同金融变动额与相关资产投资回报关系的说明。</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企业应当披露与具有直接参与分红特征的保险合同相关的下列信息：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（一）基础项目及其公允价值；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（二）根据本准则第四十二条和第四十三条规定，将货币时间价值及金融风险的影响金额计入当期保险财务损益或其他综合收益对当期合同服务边际的影响。</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具有直接参与分红特征的保险合同组，企业选择将保险合同金融变动额分解计入当期保险财务损益和其他综合收益的，根据本准则第四十四条规定，因是否持有基础项目的情况发生变动导致计入当期保险财务损益的计量方法发生变更的，应当披露变更原因和对财务报表项目的影响金额，以及相关合同组在变更日的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第二节</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与保险合同计量相关的披露</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企业应当披露与保</w:t>
      </w:r>
      <w:r>
        <w:rPr>
          <w:rFonts w:ascii="微软雅黑" w:eastAsia="微软雅黑" w:hAnsi="微软雅黑" w:cs="微软雅黑" w:hint="eastAsia"/>
          <w:color w:val="666666"/>
          <w:sz w:val="21"/>
          <w:szCs w:val="21"/>
          <w:shd w:val="clear" w:color="auto" w:fill="FFFFFF"/>
        </w:rPr>
        <w:t>险合同计量所采用的方法、输入值和假设等相关的下列信息：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（一）保险合同计量所采用的方法以及估计相关输入值的程序。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企业应当披露相关输入值的定量信息，不切实可行的除外。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（二）本条（一）中所述方法和程序的变更及其原因，以及受影响的合同类型。</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（三）与保险合同计量有关的下列信息：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1</w:t>
      </w:r>
      <w:r>
        <w:rPr>
          <w:rFonts w:ascii="微软雅黑" w:eastAsia="微软雅黑" w:hAnsi="微软雅黑" w:cs="微软雅黑" w:hint="eastAsia"/>
          <w:color w:val="666666"/>
          <w:sz w:val="21"/>
          <w:szCs w:val="21"/>
          <w:shd w:val="clear" w:color="auto" w:fill="FFFFFF"/>
        </w:rPr>
        <w:t>．对于不具有直接参与分红特征的保险合同，区分相机抉择与其他因素导致未来现金流量估计变更的方法；</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2</w:t>
      </w:r>
      <w:r>
        <w:rPr>
          <w:rFonts w:ascii="微软雅黑" w:eastAsia="微软雅黑" w:hAnsi="微软雅黑" w:cs="微软雅黑" w:hint="eastAsia"/>
          <w:color w:val="666666"/>
          <w:sz w:val="21"/>
          <w:szCs w:val="21"/>
          <w:shd w:val="clear" w:color="auto" w:fill="FFFFFF"/>
        </w:rPr>
        <w:t>．确定非金融风险调整的计量方法及计量结果所对应的置信水平，以及非金融风险调整变动额根据本准则第三十三条在利润表中的列示方法；</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3</w:t>
      </w:r>
      <w:r>
        <w:rPr>
          <w:rFonts w:ascii="微软雅黑" w:eastAsia="微软雅黑" w:hAnsi="微软雅黑" w:cs="微软雅黑" w:hint="eastAsia"/>
          <w:color w:val="666666"/>
          <w:sz w:val="21"/>
          <w:szCs w:val="21"/>
          <w:shd w:val="clear" w:color="auto" w:fill="FFFFFF"/>
        </w:rPr>
        <w:t>．确定</w:t>
      </w:r>
      <w:r>
        <w:rPr>
          <w:rFonts w:ascii="微软雅黑" w:eastAsia="微软雅黑" w:hAnsi="微软雅黑" w:cs="微软雅黑" w:hint="eastAsia"/>
          <w:color w:val="666666"/>
          <w:sz w:val="21"/>
          <w:szCs w:val="21"/>
          <w:shd w:val="clear" w:color="auto" w:fill="FFFFFF"/>
        </w:rPr>
        <w:t>折现率的方法，以及用于不随基础项目回报变动的现金流量折现的收益率曲线（或收益率曲线范围）；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4</w:t>
      </w:r>
      <w:r>
        <w:rPr>
          <w:rFonts w:ascii="微软雅黑" w:eastAsia="微软雅黑" w:hAnsi="微软雅黑" w:cs="微软雅黑" w:hint="eastAsia"/>
          <w:color w:val="666666"/>
          <w:sz w:val="21"/>
          <w:szCs w:val="21"/>
          <w:shd w:val="clear" w:color="auto" w:fill="FFFFFF"/>
        </w:rPr>
        <w:t>．确定投资成分的方法；</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5</w:t>
      </w:r>
      <w:r>
        <w:rPr>
          <w:rFonts w:ascii="微软雅黑" w:eastAsia="微软雅黑" w:hAnsi="微软雅黑" w:cs="微软雅黑" w:hint="eastAsia"/>
          <w:color w:val="666666"/>
          <w:sz w:val="21"/>
          <w:szCs w:val="21"/>
          <w:shd w:val="clear" w:color="auto" w:fill="FFFFFF"/>
        </w:rPr>
        <w:t>．确定责任单元组成部分及相对权重的方法。</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企业选择将保险合同金融变动额分解计入当期保险财务损益和其他综合收益的，应当披露确定保险财务损益金额的方法及其说明。</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对于采用保费分配法计量的保险合同组，企业应当披露下列信息：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（一）合同组适用保费分配法的判断依据；</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（二）未到期责任负债（或分保摊回未到期责任资产）和已发生赔款负债（或分保摊回已发生赔款资产）的计量是否反映</w:t>
      </w:r>
      <w:r>
        <w:rPr>
          <w:rFonts w:ascii="微软雅黑" w:eastAsia="微软雅黑" w:hAnsi="微软雅黑" w:cs="微软雅黑" w:hint="eastAsia"/>
          <w:color w:val="666666"/>
          <w:sz w:val="21"/>
          <w:szCs w:val="21"/>
          <w:shd w:val="clear" w:color="auto" w:fill="FFFFFF"/>
        </w:rPr>
        <w:t>货币时间价值及金融风险的影响；</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（三）是否在保险获取现金流量发生时将其确认为费用。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第三节</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与风险相关的披露</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企业应当披露与保险合同产生的保险风险和金融风险等相关的定性和定量信息。金融风险包括市场风险、信用风险、流动性风险等。</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第九十九条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对于保险合同产生的各类风险，企业应当按类别披露下列信息：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（一）风险敞口及其形成原因，以及在本期发生的变化。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（二）风险管理的目标、政策和程序以及计量风险的方法及其在本期发生的变化。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（三）期末风险敞口的汇总数据。该数据应当以向内部关键管理人员提供的相关信息为基础。期末风险敞口不能反映企业本期风险敞口变动情况的，企业应当进一步提供相关信息。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（四）风险集中度信息，包括企业确定风险集中度的说明和参考因素（如保险事项类型、行业特征、地理区域、货币种类等）。</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企业应当披露相关监管要求（如最低资本要求、保证利率等）对本准则适用范围内的合同的影响。保险合同分组时应用本准则第十五条规定的，企业应当披露这一事实。</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第一百零一条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企业应当对保险风险和市场风险进行敏感性分析并披露下列信息：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（一）资产负债表日保险风险变量和各类市场风险变量发生合理、可能的变动时，将对企业损益和所有者权益产生的影响。</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对于保险风险，敏感性分析应当反映对企业签发的保险合同及其经分出的再保险合同进行风险缓释后的影响。</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对于各类市场风险，敏感性分析应当反映保险合同所产生的风险变量与企业持有的金融资产所产生的风险变量之间的关联性。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（二）本期进行敏感性分析所使用的方法和假设，以及在本期发生的变化及其原因。</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第一百零二条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企业为管理保险合同所产生的风险，采用不同于本准则第一百零一条中所述方法进行敏感性分析的，应当披露下列</w:t>
      </w:r>
      <w:r>
        <w:rPr>
          <w:rFonts w:ascii="微软雅黑" w:eastAsia="微软雅黑" w:hAnsi="微软雅黑" w:cs="微软雅黑" w:hint="eastAsia"/>
          <w:color w:val="666666"/>
          <w:sz w:val="21"/>
          <w:szCs w:val="21"/>
          <w:shd w:val="clear" w:color="auto" w:fill="FFFFFF"/>
        </w:rPr>
        <w:t>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（一）用于敏感性分析的方法、选用的主要参数和假设；</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（二）所用方法的目的，以及该方法提供信息的局限性。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第一百零三条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企业应当披露索赔进展情况，以反映已发生赔款的实际赔付金额与未经折现的预计赔付金额的比较信息，及其与资产负债表日已发生赔款负债账面价值的调节情况。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索赔进展情况的披露应当从赔付时间和金额在资产负债表日仍存在不确定性的重大赔付最早发生期间开始，但最长披露期限可不超过十年。赔付时间和金额的不确定性在未来一年内将消除的索赔进展信息可以不披露。</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第一百零四条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企业应当披露与保险合同所产生的</w:t>
      </w:r>
      <w:r>
        <w:rPr>
          <w:rFonts w:ascii="微软雅黑" w:eastAsia="微软雅黑" w:hAnsi="微软雅黑" w:cs="微软雅黑" w:hint="eastAsia"/>
          <w:color w:val="666666"/>
          <w:sz w:val="21"/>
          <w:szCs w:val="21"/>
          <w:shd w:val="clear" w:color="auto" w:fill="FFFFFF"/>
        </w:rPr>
        <w:t>信用风险相关的下列信息：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（一）签发的保险合同和分出的再保险合同分别于资产负债表日的最大信用风险敞口；</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（二）与分出再保险合同资产的信用质量相关的信息。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第一百零五条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企业应当披露与保险合同所产生的流动性风险相关的下列信息：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（一）对管理流动性风险的说明。</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（二）对资产负债表日保险合同负债和分出再保险合同负债的到期期限分析。</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到期期限分析应当基于合同组合，所使用的时间段至少应当为资产负债表日后一年以内、一年至两年以内、两年至三年以内、三年至四年以内、四年至五年以内、五年以上。列入各时间段内的金额可以是未来</w:t>
      </w:r>
      <w:r>
        <w:rPr>
          <w:rFonts w:ascii="微软雅黑" w:eastAsia="微软雅黑" w:hAnsi="微软雅黑" w:cs="微软雅黑" w:hint="eastAsia"/>
          <w:color w:val="666666"/>
          <w:sz w:val="21"/>
          <w:szCs w:val="21"/>
          <w:shd w:val="clear" w:color="auto" w:fill="FFFFFF"/>
        </w:rPr>
        <w:t>现金流量现值或者未经折现的合同剩余净现金流量。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到期期限分析可以不包括采用保费分配法计量的保险合同负债和分出再保险合同负债中与未到期责任相关的部分。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（三）保单持有人可随时要求偿还的金额。企业应当说明该金额与相关保险合同组合账面价值之间的关联性。</w:t>
      </w:r>
    </w:p>
    <w:p w:rsidR="007D2D43" w:rsidRPr="00CF03D0" w:rsidRDefault="00C73C6C" w:rsidP="00CF03D0">
      <w:pPr>
        <w:pStyle w:val="a5"/>
        <w:widowControl/>
        <w:spacing w:beforeAutospacing="0" w:afterAutospacing="0" w:line="450" w:lineRule="atLeast"/>
        <w:ind w:firstLine="420"/>
        <w:jc w:val="center"/>
        <w:rPr>
          <w:b/>
        </w:rPr>
      </w:pPr>
      <w:r w:rsidRPr="00CF03D0">
        <w:rPr>
          <w:rFonts w:ascii="微软雅黑" w:eastAsia="微软雅黑" w:hAnsi="微软雅黑" w:cs="微软雅黑" w:hint="eastAsia"/>
          <w:b/>
          <w:color w:val="666666"/>
          <w:sz w:val="21"/>
          <w:szCs w:val="21"/>
          <w:shd w:val="clear" w:color="auto" w:fill="FFFFFF"/>
        </w:rPr>
        <w:t>第十章</w:t>
      </w:r>
      <w:r w:rsidRPr="00CF03D0">
        <w:rPr>
          <w:rFonts w:ascii="微软雅黑" w:eastAsia="微软雅黑" w:hAnsi="微软雅黑" w:cs="微软雅黑" w:hint="eastAsia"/>
          <w:b/>
          <w:color w:val="666666"/>
          <w:sz w:val="21"/>
          <w:szCs w:val="21"/>
          <w:shd w:val="clear" w:color="auto" w:fill="FFFFFF"/>
        </w:rPr>
        <w:t xml:space="preserve">  </w:t>
      </w:r>
      <w:r w:rsidRPr="00CF03D0">
        <w:rPr>
          <w:rFonts w:ascii="微软雅黑" w:eastAsia="微软雅黑" w:hAnsi="微软雅黑" w:cs="微软雅黑" w:hint="eastAsia"/>
          <w:b/>
          <w:color w:val="666666"/>
          <w:sz w:val="21"/>
          <w:szCs w:val="21"/>
          <w:shd w:val="clear" w:color="auto" w:fill="FFFFFF"/>
        </w:rPr>
        <w:t>衔接规定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第一百零六条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首次执行日之前的保险合同会计处理与本准则规定不一致的，企业应当按照《企业会计准则第</w:t>
      </w:r>
      <w:r>
        <w:rPr>
          <w:rFonts w:ascii="微软雅黑" w:eastAsia="微软雅黑" w:hAnsi="微软雅黑" w:cs="微软雅黑" w:hint="eastAsia"/>
          <w:color w:val="666666"/>
          <w:sz w:val="21"/>
          <w:szCs w:val="21"/>
          <w:shd w:val="clear" w:color="auto" w:fill="FFFFFF"/>
        </w:rPr>
        <w:t>28</w:t>
      </w:r>
      <w:r>
        <w:rPr>
          <w:rFonts w:ascii="微软雅黑" w:eastAsia="微软雅黑" w:hAnsi="微软雅黑" w:cs="微软雅黑" w:hint="eastAsia"/>
          <w:color w:val="666666"/>
          <w:sz w:val="21"/>
          <w:szCs w:val="21"/>
          <w:shd w:val="clear" w:color="auto" w:fill="FFFFFF"/>
        </w:rPr>
        <w:t>号——会计政策、会计估计变更和差错更正》的规定采用追溯调整法处理，但本准则另有规定的除外。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企业进行追溯调整的，无须披露当期和各个列报前期财务</w:t>
      </w:r>
      <w:r>
        <w:rPr>
          <w:rFonts w:ascii="微软雅黑" w:eastAsia="微软雅黑" w:hAnsi="微软雅黑" w:cs="微软雅黑" w:hint="eastAsia"/>
          <w:color w:val="666666"/>
          <w:sz w:val="21"/>
          <w:szCs w:val="21"/>
          <w:shd w:val="clear" w:color="auto" w:fill="FFFFFF"/>
        </w:rPr>
        <w:t>报表受影响项目和每股收益的调整金额。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第一百零七条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企业采用追溯调整法时，应当在过渡日按照下列规定进行衔接处理：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（一）假设一直按照本准则要求识别、确认和计量保险合同组；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（二）假设一直按照本准则要求识别、确认和计量保险获取现金流量资产，但无须估计该资产于过渡日前的可收回金额；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（三）确认追溯调整对所有者权益的累积影响数；</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（四）不得在过渡日前运用本准则第四十三条规定的风险管理缓释选择权。</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过渡日是指本准则首次执行日前最近一个会计年度的期初，企业列报经调整的更早期间的比较信息的，过渡日是更早比较期间的期初。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第一百零八条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对合同组采用追溯调整法不切实可行的，企业应当采用修正追溯调整法或公允价值法。对合同组采用修正追溯调整法也不切实可行的，企业应当采用公允价值法。</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修正追溯调整法，是指企业在对本章所涉及相关事项采用追溯调整法不切实可行时，使用在过渡日无须付出不必要的额外成本或努力即可获得的合理可靠的信息，以获得接近追溯调整法结果为目标，在衔接处理上按本准则规定进行简化的方法。</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公允价值法，是指</w:t>
      </w:r>
      <w:r>
        <w:rPr>
          <w:rFonts w:ascii="微软雅黑" w:eastAsia="微软雅黑" w:hAnsi="微软雅黑" w:cs="微软雅黑" w:hint="eastAsia"/>
          <w:color w:val="666666"/>
          <w:sz w:val="21"/>
          <w:szCs w:val="21"/>
          <w:shd w:val="clear" w:color="auto" w:fill="FFFFFF"/>
        </w:rPr>
        <w:t>以过渡日合同组公允价值与履约现金流量的差额确定合同组在该日的合同服务边际或未到期责任负债亏损部分，以及在衔接处理上按本准则规定进行简化的方法。</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在过渡日前符合本准则第四十三条规定条件，使用衍生工具、分出的再保险合同或以公允价值计量且其变动计入当期损益的非衍生金融工具管理合同组产生的金融风险，并自过渡日起采用未来适用法运用风险管理缓释选择权进行会计处理的，企业可以对该合同组采用公允价值法进行衔接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第一百零九条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企业采用修正追溯调整法时，应当在过渡日根据本准则规定识别下列事项并进行衔接处理：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w:t>
      </w:r>
      <w:r>
        <w:rPr>
          <w:rFonts w:ascii="微软雅黑" w:eastAsia="微软雅黑" w:hAnsi="微软雅黑" w:cs="微软雅黑" w:hint="eastAsia"/>
          <w:color w:val="666666"/>
          <w:sz w:val="21"/>
          <w:szCs w:val="21"/>
          <w:shd w:val="clear" w:color="auto" w:fill="FFFFFF"/>
        </w:rPr>
        <w:t>保险合同组，但在按照本准则规定进行保险合同分组时无法获得合理可靠的信息的，企业可以将签发或分出时间间隔超过一年的合同归入同一合同组；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（二）具有直接参与分红特征的保险合同；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（三）不具有直接参与分红特征的保险合同中的相机抉择现金流量；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（四）具有相机参与分红特征的投资合同。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企业采用修正追溯调整法时，对于在合同转让或非同一控制下企业合并中取得的保险合同，应当将该类合同在转让日或购买日前已发生的赔付义务确认为已发生赔款负债。</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对不具有直接参与分红特征的保险合同组在过渡日的合同服务边际或未到期责任负债亏损部分采用修正追溯调整法时，企业应当按照下列规定进行衔接处理：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（一）以过渡日或更早日期（如适用）估计的未来现金流量为基础，根据合同组初始确认时至过渡日或更早日期（如适用）发生的现金流量进行调整，确定合同组在初始确认时的未来现金流量；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（二）基于过渡日前最近至少三个会计年度可观察数据，考虑该数据与本准则第二十五条规定的折现率的相似性或差异，采用适当方法确定合同组在初始确认时或以后的折现率；</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（三）以过渡日估计的非金融风险调整金额为基</w:t>
      </w:r>
      <w:r>
        <w:rPr>
          <w:rFonts w:ascii="微软雅黑" w:eastAsia="微软雅黑" w:hAnsi="微软雅黑" w:cs="微软雅黑" w:hint="eastAsia"/>
          <w:color w:val="666666"/>
          <w:sz w:val="21"/>
          <w:szCs w:val="21"/>
          <w:shd w:val="clear" w:color="auto" w:fill="FFFFFF"/>
        </w:rPr>
        <w:t>础，根据在过渡日签发或分出的类似保险合同的相关风险释放方式，估计过渡日之前合同组非金融风险调整的变动金额，确定合同组在初始确认时的非金融风险调整金额；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（四）采用与过渡日后一致的方法将过渡日前已付或应付的保险获取现金流量系统合理地分摊至过渡日确认和预计将于过渡日后确认的合同组，分别调整过渡日合同服务边际和确</w:t>
      </w:r>
      <w:r>
        <w:rPr>
          <w:rFonts w:ascii="微软雅黑" w:eastAsia="微软雅黑" w:hAnsi="微软雅黑" w:cs="微软雅黑" w:hint="eastAsia"/>
          <w:color w:val="666666"/>
          <w:sz w:val="21"/>
          <w:szCs w:val="21"/>
          <w:shd w:val="clear" w:color="auto" w:fill="FFFFFF"/>
        </w:rPr>
        <w:lastRenderedPageBreak/>
        <w:t>认为保险获取现金流量资产。企业无法获得合理可靠的信息进行上述处理的，则不应调整合同服务边际或确认保险获取现金流量资产；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（五）合同组在初始确认时根据本条（一）至（四）确认合同服务边际的，应当按照本条（二）</w:t>
      </w:r>
      <w:r>
        <w:rPr>
          <w:rFonts w:ascii="微软雅黑" w:eastAsia="微软雅黑" w:hAnsi="微软雅黑" w:cs="微软雅黑" w:hint="eastAsia"/>
          <w:color w:val="666666"/>
          <w:sz w:val="21"/>
          <w:szCs w:val="21"/>
          <w:shd w:val="clear" w:color="auto" w:fill="FFFFFF"/>
        </w:rPr>
        <w:t>确定的初始确认时折现率计提利息，并基于过渡日合同组中的剩余责任单元和该日前的责任单元，确定过渡日前计入损益的合同服务边际；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（六）合同组在初始确认时根据本条（一）至（四）确认未到期责任负债亏损部分的，应当采用系统合理的方法，确定分摊至过渡日前的亏损部分；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七）对于订立时点不晚于对应的亏损保险合同确认时点的分出的再保险合同，应当根据过渡日对应的亏损保险合同的未到期责任负债亏损部分乘以预计从分出的再保险合同组摊回的对应的保险合同赔付的比例，计算分出再保险合同组分保摊回未到期责任资产在过渡日的亏损摊回部分金额，</w:t>
      </w:r>
      <w:r>
        <w:rPr>
          <w:rFonts w:ascii="微软雅黑" w:eastAsia="微软雅黑" w:hAnsi="微软雅黑" w:cs="微软雅黑" w:hint="eastAsia"/>
          <w:color w:val="666666"/>
          <w:sz w:val="21"/>
          <w:szCs w:val="21"/>
          <w:shd w:val="clear" w:color="auto" w:fill="FFFFFF"/>
        </w:rPr>
        <w:t>企业无法获得合理可靠的信息确定该亏损摊回部分金额的，则不应确认亏损摊回部分。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第一百一十一条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对具有直接参与分红特征的保险合同组在过渡日的合同服务边际或未到期责任负债亏损部分采用修正追溯调整法时，企业应当按照下列规定进行衔接处理：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（一）以过渡日基础项目公允价值减去该日履约现金流量的金额为基础，根据过渡日前相关现金流量以及非金融风险调整的变动进行恰当调整；</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（二）采用与过渡日后一致的方法将过渡日前已付或应付的保险获取现金流量系统合理地分摊至过渡日确认和预计将于过渡日后确认的合同组，分别调整过渡日合同服务边</w:t>
      </w:r>
      <w:r>
        <w:rPr>
          <w:rFonts w:ascii="微软雅黑" w:eastAsia="微软雅黑" w:hAnsi="微软雅黑" w:cs="微软雅黑" w:hint="eastAsia"/>
          <w:color w:val="666666"/>
          <w:sz w:val="21"/>
          <w:szCs w:val="21"/>
          <w:shd w:val="clear" w:color="auto" w:fill="FFFFFF"/>
        </w:rPr>
        <w:t>际和确认为保险获取现金流量资产。企业无法获得合理可靠的信息进行上述处理的，则不应调整合同服务边际或确认保险获取现金流量资产；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（三）合同组根据本条（一）和（二）确认合同服务边际的，应当基于过渡日合同组中的剩余责任单元和该日前的责任单元，确定过渡日前计入损益的合同服务边际；</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（四）合同组根据本条（一）和（二）确认未到期责任负债亏损部分的，应当将该亏损部分调整为零，同时将该亏损部分增加过渡日未到期责任负债账面价值。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第一百一十二条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企业对过渡日保险合同金融变动额采用修正追溯调整法时，应当按照下列规定进行衔接处</w:t>
      </w:r>
      <w:r>
        <w:rPr>
          <w:rFonts w:ascii="微软雅黑" w:eastAsia="微软雅黑" w:hAnsi="微软雅黑" w:cs="微软雅黑" w:hint="eastAsia"/>
          <w:color w:val="666666"/>
          <w:sz w:val="21"/>
          <w:szCs w:val="21"/>
          <w:shd w:val="clear" w:color="auto" w:fill="FFFFFF"/>
        </w:rPr>
        <w:t>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根据本准则第一百零九条（一）规定将签发或分出时间相隔超过一年的合同归入同一合同组的，可以在过渡日确定合同组初始确认时或以后适用的折现率。企业根据本准则第三十四条选择将保险合同金融变动额分解计入保险财务损益和其他综合收益的，应当采用适当方法确定过渡日计入其他综合收益的累计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未将签发或分出时间相隔超过一年的合同归入同一合同组的，应当按照本准则第一百一十条（二）估计合同组初始确认时或以后适用的折现率。企业根据本准则第三十四条选择将保险合同金融变动额分解计入保险财务损益和计入其他综合收益的，</w:t>
      </w:r>
      <w:r>
        <w:rPr>
          <w:rFonts w:ascii="微软雅黑" w:eastAsia="微软雅黑" w:hAnsi="微软雅黑" w:cs="微软雅黑" w:hint="eastAsia"/>
          <w:color w:val="666666"/>
          <w:sz w:val="21"/>
          <w:szCs w:val="21"/>
          <w:shd w:val="clear" w:color="auto" w:fill="FFFFFF"/>
        </w:rPr>
        <w:t>应当采用适当方法确定过渡日计入其他综合收益的累计金额。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第一百一十三条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根据本准则第三十七条规定选择不调整中期财务报表有关会计估计处理结果的会计政策的，应当在过渡日对该会计政策采用追溯调整法处理。采用追溯调整法不切实可行的，企业可以采用修正追溯调整法，对保险合同金融变动额和不具有直接参与分红特征的保险合同的合同服务边际或未到期责任负债亏损部分进行衔接处理时，视同过渡日前未编制中期财务报表。</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第一百一十四条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企业采用公允价值法时，可以使用在合同开始日或初始确认时根据合同条款和市场状况可确定的合理可靠的信息，或使用在过渡日可获得的合理可靠的信息，根据本准则规定识别下列事项并进行衔接处理：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（一）保险合同组，企业可以将签发或分出时间间隔超过一年的合同归入同一合同组；</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（二）具有直接参与分红特征的保险合同；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（三）不具有直接参与分红特征的保险合同中的相机抉择现金流量；</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（四）具有相机参与分红特征的投资合同。</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企业采用公允价值法时，对于在合同转让或非同一控制下企业合并中取得的保险合同，可以将该类合同在转让日或购买日前已</w:t>
      </w:r>
      <w:r>
        <w:rPr>
          <w:rFonts w:ascii="微软雅黑" w:eastAsia="微软雅黑" w:hAnsi="微软雅黑" w:cs="微软雅黑" w:hint="eastAsia"/>
          <w:color w:val="666666"/>
          <w:sz w:val="21"/>
          <w:szCs w:val="21"/>
          <w:shd w:val="clear" w:color="auto" w:fill="FFFFFF"/>
        </w:rPr>
        <w:t>发生的赔付义务确认为已发生赔款负债。</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第一百一十五条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企业采用公允价值法时，按照下列规定进行衔接处理：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（一）企业可以在过渡日确定合同组初始确认时或以后适用的折现率；</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对于分出的再保险合同组对应亏损保险合同的，应当根据过渡日对应的亏损保险合同的未到期责任负债亏损部分乘以预计从分出的再保险合同组摊回的对应的保险合同赔付的比例，计算分出再保险合同组分保摊回未到期责任资产在过渡日的亏损摊回部分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（三）企业根据本准则第三十四条选择将保险合同金融变动额分解计入保险财务损益和其他综合收益的，应当采用适当方</w:t>
      </w:r>
      <w:r>
        <w:rPr>
          <w:rFonts w:ascii="微软雅黑" w:eastAsia="微软雅黑" w:hAnsi="微软雅黑" w:cs="微软雅黑" w:hint="eastAsia"/>
          <w:color w:val="666666"/>
          <w:sz w:val="21"/>
          <w:szCs w:val="21"/>
          <w:shd w:val="clear" w:color="auto" w:fill="FFFFFF"/>
        </w:rPr>
        <w:t>法确定过渡日计入其他综合收益的累计金额；</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（四）对保险获取现金流量资产采用追溯调整法不切实可行时，企业应当采用适当方法确定过渡日的保险获取现金流量资产。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第一百一十六条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企业应当在附注中披露与衔接处理相关的下列信息：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（一）在采用修正追溯调整法和公允价值法的保险合同的存续期间，说明该类保险合同在过渡日的衔接处理；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（二）在本准则第八十六条和第八十七条规定的调节表中，分别就过渡日采用修正追溯调整法和公允价值法的保险合同，在该类保险合同存续期间单独披露其对保险服务收入和合同服务边际的影响；</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（三）企业根据本准</w:t>
      </w:r>
      <w:r>
        <w:rPr>
          <w:rFonts w:ascii="微软雅黑" w:eastAsia="微软雅黑" w:hAnsi="微软雅黑" w:cs="微软雅黑" w:hint="eastAsia"/>
          <w:color w:val="666666"/>
          <w:sz w:val="21"/>
          <w:szCs w:val="21"/>
          <w:shd w:val="clear" w:color="auto" w:fill="FFFFFF"/>
        </w:rPr>
        <w:t>则第一百一十二条和第一百一十五条（三）的规定，采用修正追溯调整法或公允价值法确定过渡日计入其他综合收益的累计金额的，在该金额减计为零之前的</w:t>
      </w:r>
      <w:r>
        <w:rPr>
          <w:rFonts w:ascii="微软雅黑" w:eastAsia="微软雅黑" w:hAnsi="微软雅黑" w:cs="微软雅黑" w:hint="eastAsia"/>
          <w:color w:val="666666"/>
          <w:sz w:val="21"/>
          <w:szCs w:val="21"/>
          <w:shd w:val="clear" w:color="auto" w:fill="FFFFFF"/>
        </w:rPr>
        <w:lastRenderedPageBreak/>
        <w:t>期间，应当披露以公允价值计量且其变动计入其他综合收益的相关金融资产计入其他综合收益的累计金额自期初至期末的调节情况。</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第一百一十七条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企业无须披露比首次执行日前最近一个会计年度更早期间的信息。企业选择披露未经调整的更早期间的比较信息的，应当列示该类信息并说明其编制基础。</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企业可以选择不披露未公开的、比首次执行日前四个会计年度更早期间发生的索赔进展情况，但应当披露这一选择</w:t>
      </w:r>
      <w:r>
        <w:rPr>
          <w:rFonts w:ascii="微软雅黑" w:eastAsia="微软雅黑" w:hAnsi="微软雅黑" w:cs="微软雅黑" w:hint="eastAsia"/>
          <w:color w:val="666666"/>
          <w:sz w:val="21"/>
          <w:szCs w:val="21"/>
          <w:shd w:val="clear" w:color="auto" w:fill="FFFFFF"/>
        </w:rPr>
        <w:t>。</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第一百一十八条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企业在本准则首次执行日前执行金融工具相关会计准则的，应当在本准则首次执行日对金融资产进行下列处理：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（一）企业可以对管理金融资产的业务模式进行重新评估并确定金融资产分类，但为了与本准则适用范围内合同无关的活动而持有的金融资产除外；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（二）在首次执行日前被指定为以公允价值计量且其变动计入当期损益的金融资产，因企业执行本准则而不再符合指定条件时，应当撤销之前的指定；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（三）金融资产因企业执行本准则而符合指定条件的，可以指定为以公允价值计量且其变动计入当期损益的金融资产；</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（四）企业可以将非</w:t>
      </w:r>
      <w:r>
        <w:rPr>
          <w:rFonts w:ascii="微软雅黑" w:eastAsia="微软雅黑" w:hAnsi="微软雅黑" w:cs="微软雅黑" w:hint="eastAsia"/>
          <w:color w:val="666666"/>
          <w:sz w:val="21"/>
          <w:szCs w:val="21"/>
          <w:shd w:val="clear" w:color="auto" w:fill="FFFFFF"/>
        </w:rPr>
        <w:t>交易性权益工具投资指定为以公允价值计量且其变动计入其他综合收益的金融资产或撤销之前的指定。</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企业应当以本准则首次执行日的事实和情况为基础进行上述处理，并追溯调整首次执行本准则当年年初留存收益或权益的其他部分。企业无须调整可比期间信息。企业选择调整可比期间信息的，应当以前期事实和情况为基础，以反映金融工具相关会计准则的要求。</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第一百一十九条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企业根据本准则第一百一十八条规定进行处理的，应当披露下列信息：</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（一）根据本准则第一百一十八条（一）对管理相关金融资产的业务模式进行重新评估并确定金融资产分类的标准；</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（二）相关金融资产列报类型和账面价值的变化；</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（三）撤销之前指定为以公允价值计量且其变动计入当期损益的金融资产的期末账面价值；</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（四）指定或撤销指定以公允价值计量且其变动计入当期损益的相关金融资产的原因。</w:t>
      </w:r>
    </w:p>
    <w:p w:rsidR="007D2D43" w:rsidRPr="00CF03D0" w:rsidRDefault="00C73C6C" w:rsidP="00CF03D0">
      <w:pPr>
        <w:pStyle w:val="a5"/>
        <w:widowControl/>
        <w:spacing w:beforeAutospacing="0" w:afterAutospacing="0" w:line="450" w:lineRule="atLeast"/>
        <w:ind w:firstLine="420"/>
        <w:jc w:val="center"/>
        <w:rPr>
          <w:b/>
        </w:rPr>
      </w:pPr>
      <w:r w:rsidRPr="00CF03D0">
        <w:rPr>
          <w:rFonts w:ascii="微软雅黑" w:eastAsia="微软雅黑" w:hAnsi="微软雅黑" w:cs="微软雅黑" w:hint="eastAsia"/>
          <w:b/>
          <w:color w:val="666666"/>
          <w:sz w:val="21"/>
          <w:szCs w:val="21"/>
          <w:shd w:val="clear" w:color="auto" w:fill="FFFFFF"/>
        </w:rPr>
        <w:t>第十一章</w:t>
      </w:r>
      <w:r w:rsidRPr="00CF03D0">
        <w:rPr>
          <w:rFonts w:ascii="微软雅黑" w:eastAsia="微软雅黑" w:hAnsi="微软雅黑" w:cs="微软雅黑" w:hint="eastAsia"/>
          <w:b/>
          <w:color w:val="666666"/>
          <w:sz w:val="21"/>
          <w:szCs w:val="21"/>
          <w:shd w:val="clear" w:color="auto" w:fill="FFFFFF"/>
        </w:rPr>
        <w:t xml:space="preserve">  </w:t>
      </w:r>
      <w:r w:rsidRPr="00CF03D0">
        <w:rPr>
          <w:rFonts w:ascii="微软雅黑" w:eastAsia="微软雅黑" w:hAnsi="微软雅黑" w:cs="微软雅黑" w:hint="eastAsia"/>
          <w:b/>
          <w:color w:val="666666"/>
          <w:sz w:val="21"/>
          <w:szCs w:val="21"/>
          <w:shd w:val="clear" w:color="auto" w:fill="FFFFFF"/>
        </w:rPr>
        <w:t>附则</w:t>
      </w:r>
    </w:p>
    <w:p w:rsidR="007D2D43" w:rsidRDefault="00C73C6C">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第一百二十条</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本准则自</w:t>
      </w:r>
      <w:r>
        <w:rPr>
          <w:rFonts w:ascii="微软雅黑" w:eastAsia="微软雅黑" w:hAnsi="微软雅黑" w:cs="微软雅黑" w:hint="eastAsia"/>
          <w:color w:val="666666"/>
          <w:sz w:val="21"/>
          <w:szCs w:val="21"/>
          <w:shd w:val="clear" w:color="auto" w:fill="FFFFFF"/>
        </w:rPr>
        <w:t>2023</w:t>
      </w:r>
      <w:r>
        <w:rPr>
          <w:rFonts w:ascii="微软雅黑" w:eastAsia="微软雅黑" w:hAnsi="微软雅黑" w:cs="微软雅黑" w:hint="eastAsia"/>
          <w:color w:val="666666"/>
          <w:sz w:val="21"/>
          <w:szCs w:val="21"/>
          <w:shd w:val="clear" w:color="auto" w:fill="FFFFFF"/>
        </w:rPr>
        <w:t>年</w:t>
      </w:r>
      <w:r>
        <w:rPr>
          <w:rFonts w:ascii="微软雅黑" w:eastAsia="微软雅黑" w:hAnsi="微软雅黑" w:cs="微软雅黑" w:hint="eastAsia"/>
          <w:color w:val="666666"/>
          <w:sz w:val="21"/>
          <w:szCs w:val="21"/>
          <w:shd w:val="clear" w:color="auto" w:fill="FFFFFF"/>
        </w:rPr>
        <w:t>1</w:t>
      </w:r>
      <w:r>
        <w:rPr>
          <w:rFonts w:ascii="微软雅黑" w:eastAsia="微软雅黑" w:hAnsi="微软雅黑" w:cs="微软雅黑" w:hint="eastAsia"/>
          <w:color w:val="666666"/>
          <w:sz w:val="21"/>
          <w:szCs w:val="21"/>
          <w:shd w:val="clear" w:color="auto" w:fill="FFFFFF"/>
        </w:rPr>
        <w:t>月</w:t>
      </w:r>
      <w:r>
        <w:rPr>
          <w:rFonts w:ascii="微软雅黑" w:eastAsia="微软雅黑" w:hAnsi="微软雅黑" w:cs="微软雅黑" w:hint="eastAsia"/>
          <w:color w:val="666666"/>
          <w:sz w:val="21"/>
          <w:szCs w:val="21"/>
          <w:shd w:val="clear" w:color="auto" w:fill="FFFFFF"/>
        </w:rPr>
        <w:t>1</w:t>
      </w:r>
      <w:r>
        <w:rPr>
          <w:rFonts w:ascii="微软雅黑" w:eastAsia="微软雅黑" w:hAnsi="微软雅黑" w:cs="微软雅黑" w:hint="eastAsia"/>
          <w:color w:val="666666"/>
          <w:sz w:val="21"/>
          <w:szCs w:val="21"/>
          <w:shd w:val="clear" w:color="auto" w:fill="FFFFFF"/>
        </w:rPr>
        <w:t>日起施行。</w:t>
      </w:r>
    </w:p>
    <w:p w:rsidR="007D2D43" w:rsidRDefault="007D2D43">
      <w:pPr>
        <w:widowControl/>
        <w:shd w:val="clear" w:color="auto" w:fill="F8F8F8"/>
        <w:wordWrap w:val="0"/>
        <w:ind w:left="300"/>
        <w:jc w:val="left"/>
        <w:rPr>
          <w:rFonts w:ascii="微软雅黑" w:eastAsia="微软雅黑" w:hAnsi="微软雅黑" w:cs="微软雅黑"/>
          <w:color w:val="666666"/>
          <w:szCs w:val="21"/>
        </w:rPr>
      </w:pPr>
    </w:p>
    <w:p w:rsidR="007D2D43" w:rsidRDefault="007D2D43">
      <w:bookmarkStart w:id="0" w:name="_GoBack"/>
      <w:bookmarkEnd w:id="0"/>
    </w:p>
    <w:sectPr w:rsidR="007D2D4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C6C" w:rsidRDefault="00C73C6C" w:rsidP="00CF03D0">
      <w:r>
        <w:separator/>
      </w:r>
    </w:p>
  </w:endnote>
  <w:endnote w:type="continuationSeparator" w:id="0">
    <w:p w:rsidR="00C73C6C" w:rsidRDefault="00C73C6C" w:rsidP="00CF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2872071"/>
      <w:docPartObj>
        <w:docPartGallery w:val="Page Numbers (Bottom of Page)"/>
        <w:docPartUnique/>
      </w:docPartObj>
    </w:sdtPr>
    <w:sdtContent>
      <w:p w:rsidR="00CF03D0" w:rsidRDefault="00CF03D0">
        <w:pPr>
          <w:pStyle w:val="a3"/>
          <w:jc w:val="center"/>
        </w:pPr>
        <w:r>
          <w:fldChar w:fldCharType="begin"/>
        </w:r>
        <w:r>
          <w:instrText>PAGE   \* MERGEFORMAT</w:instrText>
        </w:r>
        <w:r>
          <w:fldChar w:fldCharType="separate"/>
        </w:r>
        <w:r w:rsidRPr="00CF03D0">
          <w:rPr>
            <w:noProof/>
            <w:lang w:val="zh-CN"/>
          </w:rPr>
          <w:t>35</w:t>
        </w:r>
        <w:r>
          <w:fldChar w:fldCharType="end"/>
        </w:r>
      </w:p>
    </w:sdtContent>
  </w:sdt>
  <w:p w:rsidR="00CF03D0" w:rsidRDefault="00CF03D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C6C" w:rsidRDefault="00C73C6C" w:rsidP="00CF03D0">
      <w:r>
        <w:separator/>
      </w:r>
    </w:p>
  </w:footnote>
  <w:footnote w:type="continuationSeparator" w:id="0">
    <w:p w:rsidR="00C73C6C" w:rsidRDefault="00C73C6C" w:rsidP="00CF03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80F78"/>
    <w:rsid w:val="002E64C2"/>
    <w:rsid w:val="00561186"/>
    <w:rsid w:val="007D2D43"/>
    <w:rsid w:val="009D25BA"/>
    <w:rsid w:val="00C301AA"/>
    <w:rsid w:val="00C73C6C"/>
    <w:rsid w:val="00CF03D0"/>
    <w:rsid w:val="59ED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35</Pages>
  <Words>3357</Words>
  <Characters>19137</Characters>
  <Application>Microsoft Office Word</Application>
  <DocSecurity>0</DocSecurity>
  <Lines>159</Lines>
  <Paragraphs>44</Paragraphs>
  <ScaleCrop>false</ScaleCrop>
  <Company/>
  <LinksUpToDate>false</LinksUpToDate>
  <CharactersWithSpaces>22450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5</cp:revision>
  <dcterms:created xsi:type="dcterms:W3CDTF">2022-03-17T06:05:00Z</dcterms:created>
  <dcterms:modified xsi:type="dcterms:W3CDTF">2022-03-21T07:08:00Z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E7A66853CE1848E1BFF6E97DE70C8899</vt:lpwstr>
  </property>
</Properties>
</file>